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81D" w:rsidRDefault="00C7081D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C7081D" w:rsidRDefault="00C7081D">
      <w:pPr>
        <w:pStyle w:val="ConsPlusNormal"/>
        <w:jc w:val="both"/>
        <w:outlineLvl w:val="0"/>
      </w:pPr>
    </w:p>
    <w:p w:rsidR="00C7081D" w:rsidRDefault="00C7081D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C7081D" w:rsidRDefault="00C7081D">
      <w:pPr>
        <w:pStyle w:val="ConsPlusTitle"/>
        <w:jc w:val="center"/>
      </w:pPr>
    </w:p>
    <w:p w:rsidR="00C7081D" w:rsidRDefault="00C7081D">
      <w:pPr>
        <w:pStyle w:val="ConsPlusTitle"/>
        <w:jc w:val="center"/>
      </w:pPr>
      <w:r>
        <w:t>ПОСТАНОВЛЕНИЕ</w:t>
      </w:r>
    </w:p>
    <w:p w:rsidR="00C7081D" w:rsidRDefault="00C7081D">
      <w:pPr>
        <w:pStyle w:val="ConsPlusTitle"/>
        <w:jc w:val="center"/>
      </w:pPr>
      <w:r>
        <w:t>от 30 ноября 2021 г. N 2128</w:t>
      </w:r>
    </w:p>
    <w:p w:rsidR="00C7081D" w:rsidRDefault="00C7081D">
      <w:pPr>
        <w:pStyle w:val="ConsPlusTitle"/>
        <w:jc w:val="center"/>
      </w:pPr>
    </w:p>
    <w:p w:rsidR="00C7081D" w:rsidRDefault="00C7081D">
      <w:pPr>
        <w:pStyle w:val="ConsPlusTitle"/>
        <w:jc w:val="center"/>
      </w:pPr>
      <w:r>
        <w:t>О ПОРЯДКЕ</w:t>
      </w:r>
    </w:p>
    <w:p w:rsidR="00C7081D" w:rsidRDefault="00C7081D">
      <w:pPr>
        <w:pStyle w:val="ConsPlusTitle"/>
        <w:jc w:val="center"/>
      </w:pPr>
      <w:r>
        <w:t>ОПРЕДЕЛЕНИЯ ХАРАКТЕРИСТИК ДРЕВЕСИНЫ И УЧЕТА ДРЕВЕСИНЫ</w:t>
      </w: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ind w:firstLine="540"/>
        <w:jc w:val="both"/>
      </w:pPr>
      <w:r>
        <w:t xml:space="preserve">В </w:t>
      </w:r>
      <w:proofErr w:type="gramStart"/>
      <w:r>
        <w:t>соответствии</w:t>
      </w:r>
      <w:proofErr w:type="gramEnd"/>
      <w:r>
        <w:t xml:space="preserve"> с </w:t>
      </w:r>
      <w:hyperlink r:id="rId6">
        <w:r>
          <w:rPr>
            <w:color w:val="0000FF"/>
          </w:rPr>
          <w:t>частью 6 статьи 50.1</w:t>
        </w:r>
      </w:hyperlink>
      <w:r>
        <w:t xml:space="preserve"> Лесного кодекса Российской Федерации Правительство Российской Федерации постановляет: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1. Утвердить прилагаемые </w:t>
      </w:r>
      <w:hyperlink w:anchor="P32">
        <w:r>
          <w:rPr>
            <w:color w:val="0000FF"/>
          </w:rPr>
          <w:t>Правила</w:t>
        </w:r>
      </w:hyperlink>
      <w:r>
        <w:t xml:space="preserve"> определения характеристик древесины и учета древесины.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2. Признать утратившим силу </w:t>
      </w:r>
      <w:hyperlink r:id="rId7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23 ноября 2020 г. N 1898 "Об утверждении Правил учета древесины" (Собрание законодательства Российской Федерации, 2020, N 48, ст. 7752).</w:t>
      </w:r>
    </w:p>
    <w:p w:rsidR="00C7081D" w:rsidRDefault="00C7081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C7081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7081D" w:rsidRDefault="00C7081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7081D" w:rsidRDefault="00C7081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7081D" w:rsidRDefault="00C7081D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C7081D" w:rsidRDefault="00C7081D">
            <w:pPr>
              <w:pStyle w:val="ConsPlusNormal"/>
              <w:jc w:val="both"/>
            </w:pPr>
            <w:r>
              <w:rPr>
                <w:color w:val="392C69"/>
              </w:rPr>
              <w:t xml:space="preserve">П. 3 </w:t>
            </w:r>
            <w:hyperlink w:anchor="P16">
              <w:r>
                <w:rPr>
                  <w:color w:val="0000FF"/>
                </w:rPr>
                <w:t>вступил</w:t>
              </w:r>
            </w:hyperlink>
            <w:r>
              <w:rPr>
                <w:color w:val="392C69"/>
              </w:rPr>
              <w:t xml:space="preserve"> в силу с 30.11.2021.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7081D" w:rsidRDefault="00C7081D">
            <w:pPr>
              <w:pStyle w:val="ConsPlusNormal"/>
            </w:pPr>
          </w:p>
        </w:tc>
      </w:tr>
    </w:tbl>
    <w:p w:rsidR="00C7081D" w:rsidRDefault="00C7081D">
      <w:pPr>
        <w:pStyle w:val="ConsPlusNormal"/>
        <w:spacing w:before="260"/>
        <w:ind w:firstLine="540"/>
        <w:jc w:val="both"/>
      </w:pPr>
      <w:bookmarkStart w:id="0" w:name="P14"/>
      <w:bookmarkEnd w:id="0"/>
      <w:r>
        <w:t>3. Федеральному агентству по техническому регулированию и метрологии предусмотреть включение в программу национальной стандартизации стандартов в области определения характеристик древесины и продукции ее переработки до 1 января 2023 г. и обеспечить их разработку и утверждение до 1 марта 2024 г.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4. Установить, что реализация полномочий, предусмотренных настоящим постановлением, осуществляется соответствующими федеральными органами исполнительной </w:t>
      </w:r>
      <w:proofErr w:type="gramStart"/>
      <w:r>
        <w:t>власти</w:t>
      </w:r>
      <w:proofErr w:type="gramEnd"/>
      <w:r>
        <w:t xml:space="preserve"> в пределах установленной Правительством Российской Федерации предельной численности работников указанных органов, а также бюджетных ассигнований, предусмотренных им в федеральном бюджете на руководство и управление в сфере установленных функций.</w:t>
      </w:r>
    </w:p>
    <w:p w:rsidR="00C7081D" w:rsidRDefault="00C7081D">
      <w:pPr>
        <w:pStyle w:val="ConsPlusNormal"/>
        <w:spacing w:before="200"/>
        <w:ind w:firstLine="540"/>
        <w:jc w:val="both"/>
      </w:pPr>
      <w:bookmarkStart w:id="1" w:name="P16"/>
      <w:bookmarkEnd w:id="1"/>
      <w:r>
        <w:t xml:space="preserve">5. Настоящее постановление вступает в силу с 1 марта 2022 г., за исключением </w:t>
      </w:r>
      <w:hyperlink w:anchor="P14">
        <w:r>
          <w:rPr>
            <w:color w:val="0000FF"/>
          </w:rPr>
          <w:t>пункта 3</w:t>
        </w:r>
      </w:hyperlink>
      <w:r>
        <w:t xml:space="preserve"> настоящего постановления, который вступает в силу со дня официального опубликования настоящего постановления.</w:t>
      </w:r>
    </w:p>
    <w:p w:rsidR="00C7081D" w:rsidRDefault="00C7081D">
      <w:pPr>
        <w:pStyle w:val="ConsPlusNormal"/>
        <w:spacing w:before="200"/>
        <w:ind w:firstLine="540"/>
        <w:jc w:val="both"/>
      </w:pPr>
      <w:hyperlink w:anchor="P32">
        <w:r>
          <w:rPr>
            <w:color w:val="0000FF"/>
          </w:rPr>
          <w:t>Правила</w:t>
        </w:r>
      </w:hyperlink>
      <w:r>
        <w:t>, утвержденные настоящим постановлением, действуют до 1 марта 2028 г.</w:t>
      </w: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jc w:val="right"/>
      </w:pPr>
      <w:r>
        <w:t>Председатель Правительства</w:t>
      </w:r>
    </w:p>
    <w:p w:rsidR="00C7081D" w:rsidRDefault="00C7081D">
      <w:pPr>
        <w:pStyle w:val="ConsPlusNormal"/>
        <w:jc w:val="right"/>
      </w:pPr>
      <w:r>
        <w:t>Российской Федерации</w:t>
      </w:r>
    </w:p>
    <w:p w:rsidR="00C7081D" w:rsidRDefault="00C7081D">
      <w:pPr>
        <w:pStyle w:val="ConsPlusNormal"/>
        <w:jc w:val="right"/>
      </w:pPr>
      <w:r>
        <w:t>М.МИШУСТИН</w:t>
      </w: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jc w:val="right"/>
        <w:outlineLvl w:val="0"/>
      </w:pPr>
      <w:r>
        <w:t>Утверждены</w:t>
      </w:r>
    </w:p>
    <w:p w:rsidR="00C7081D" w:rsidRDefault="00C7081D">
      <w:pPr>
        <w:pStyle w:val="ConsPlusNormal"/>
        <w:jc w:val="right"/>
      </w:pPr>
      <w:r>
        <w:t>постановлением Правительства</w:t>
      </w:r>
    </w:p>
    <w:p w:rsidR="00C7081D" w:rsidRDefault="00C7081D">
      <w:pPr>
        <w:pStyle w:val="ConsPlusNormal"/>
        <w:jc w:val="right"/>
      </w:pPr>
      <w:r>
        <w:t>Российской Федерации</w:t>
      </w:r>
    </w:p>
    <w:p w:rsidR="00C7081D" w:rsidRDefault="00C7081D">
      <w:pPr>
        <w:pStyle w:val="ConsPlusNormal"/>
        <w:jc w:val="right"/>
      </w:pPr>
      <w:r>
        <w:t>от 30 ноября 2021 г. N 2128</w:t>
      </w: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Title"/>
        <w:jc w:val="center"/>
      </w:pPr>
      <w:bookmarkStart w:id="2" w:name="P32"/>
      <w:bookmarkEnd w:id="2"/>
      <w:r>
        <w:t>ПРАВИЛА</w:t>
      </w:r>
    </w:p>
    <w:p w:rsidR="00C7081D" w:rsidRDefault="00C7081D">
      <w:pPr>
        <w:pStyle w:val="ConsPlusTitle"/>
        <w:jc w:val="center"/>
      </w:pPr>
      <w:r>
        <w:t>ОПРЕДЕЛЕНИЯ ХАРАКТЕРИСТИК ДРЕВЕСИНЫ И УЧЕТА ДРЕВЕСИНЫ</w:t>
      </w: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ind w:firstLine="540"/>
        <w:jc w:val="both"/>
      </w:pPr>
      <w:bookmarkStart w:id="3" w:name="P35"/>
      <w:bookmarkEnd w:id="3"/>
      <w:r>
        <w:t>1. Настоящие Правила устанавливают порядок определения характеристик древесины и учета древесины в отношении: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а) древесины, полученной при использовании лесов и при осуществлении мероприятий по их сохранению;</w:t>
      </w:r>
    </w:p>
    <w:p w:rsidR="00C7081D" w:rsidRDefault="00C7081D">
      <w:pPr>
        <w:pStyle w:val="ConsPlusNormal"/>
        <w:spacing w:before="200"/>
        <w:ind w:firstLine="540"/>
        <w:jc w:val="both"/>
      </w:pPr>
      <w:proofErr w:type="gramStart"/>
      <w:r>
        <w:lastRenderedPageBreak/>
        <w:t>б) транспортируемой древесины и продукции ее переработки;</w:t>
      </w:r>
      <w:proofErr w:type="gramEnd"/>
    </w:p>
    <w:p w:rsidR="00C7081D" w:rsidRDefault="00C7081D">
      <w:pPr>
        <w:pStyle w:val="ConsPlusNormal"/>
        <w:spacing w:before="200"/>
        <w:ind w:firstLine="540"/>
        <w:jc w:val="both"/>
      </w:pPr>
      <w:bookmarkStart w:id="4" w:name="P38"/>
      <w:bookmarkEnd w:id="4"/>
      <w:r>
        <w:t>в) древесины, размещенной в местах (пунктах) складирования древесины;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г) древесины, поступившей для переработки;</w:t>
      </w:r>
    </w:p>
    <w:p w:rsidR="00C7081D" w:rsidRDefault="00C7081D">
      <w:pPr>
        <w:pStyle w:val="ConsPlusNormal"/>
        <w:spacing w:before="200"/>
        <w:ind w:firstLine="540"/>
        <w:jc w:val="both"/>
      </w:pPr>
      <w:bookmarkStart w:id="5" w:name="P40"/>
      <w:bookmarkEnd w:id="5"/>
      <w:r>
        <w:t>д) продукции переработки древесины;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е) древесины и продукции ее переработки, являющихся предметом сделок с древесиной.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2. Настоящие Правила применяются к древесине и продукции ее переработки, перечень которых определяется Правительством Российской Федерации в соответствии </w:t>
      </w:r>
      <w:hyperlink r:id="rId8">
        <w:r>
          <w:rPr>
            <w:color w:val="0000FF"/>
          </w:rPr>
          <w:t>частью 1 статьи 50.1</w:t>
        </w:r>
      </w:hyperlink>
      <w:r>
        <w:t xml:space="preserve"> Лесного кодекса Российской Федерации (далее - древесина).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3. Положения настоящих Правил направлены на обеспечение прослеживаемости происхождения древесины, сопоставимость определения характеристик древесины, полноту учета и анализ сведений о ней.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4. </w:t>
      </w:r>
      <w:proofErr w:type="gramStart"/>
      <w:r>
        <w:t xml:space="preserve">В целях учета древесины осуществляется определение объема, видового (породного), сортиментного состава древесины, кода по Общероссийскому </w:t>
      </w:r>
      <w:hyperlink r:id="rId9">
        <w:r>
          <w:rPr>
            <w:color w:val="0000FF"/>
          </w:rPr>
          <w:t>классификатору</w:t>
        </w:r>
      </w:hyperlink>
      <w:r>
        <w:t xml:space="preserve"> продукции по видам экономической деятельности (ОКПД 2), а в отношении древесины, вывозимой из Российской Федерации за пределы Евразийского экономического союза, - также кода единой Товарной </w:t>
      </w:r>
      <w:hyperlink r:id="rId10">
        <w:r>
          <w:rPr>
            <w:color w:val="0000FF"/>
          </w:rPr>
          <w:t>номенклатуры</w:t>
        </w:r>
      </w:hyperlink>
      <w:r>
        <w:t xml:space="preserve"> внешнеэкономической деятельности Евразийского экономического союза с указанием ее влажности более 22 процентов для товаров, классифицируемых в товарной </w:t>
      </w:r>
      <w:hyperlink r:id="rId11">
        <w:r>
          <w:rPr>
            <w:color w:val="0000FF"/>
          </w:rPr>
          <w:t>позиции 4407</w:t>
        </w:r>
        <w:proofErr w:type="gramEnd"/>
      </w:hyperlink>
      <w:r>
        <w:t xml:space="preserve"> </w:t>
      </w:r>
      <w:proofErr w:type="gramStart"/>
      <w:r>
        <w:t xml:space="preserve">единой Товарной номенклатуры внешнеэкономической деятельности Евразийского экономического союза (далее - характеристики древесины), и внесение характеристик древесины посредством формирования отчетов и документов, предусмотренных </w:t>
      </w:r>
      <w:hyperlink r:id="rId12">
        <w:r>
          <w:rPr>
            <w:color w:val="0000FF"/>
          </w:rPr>
          <w:t>частью 5 статьи 50.1</w:t>
        </w:r>
      </w:hyperlink>
      <w:r>
        <w:t xml:space="preserve"> Лесного кодекса Российской Федерации, в единую государственную автоматизированную информационную систему учета древесины и сделок с ней (до 1 января 2023 г.) или в государственный лесной реестр (с 1 января 2023 г.) (далее соответственно - информационная система</w:t>
      </w:r>
      <w:proofErr w:type="gramEnd"/>
      <w:r>
        <w:t>, реестр).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Федеральное агентство лесного хозяйства обеспечивает внесение указанных сведений, осуществляет проверку (сопоставление), обработку, анализ и хранение сведений о древесине.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5. Сведения о древесине, которые вносятся в информационную систему и реестр, должны соответствовать документам, сформированным по фактам хозяйственной жизни, происходящим в процессе оборота древесины. Не допускается внесение сведений по фактам, которые не имели места в хозяйственной жизни, в том числе по фактам, лежащим в основе мнимых и притворных сделок.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6. Учет древесины осуществляется Федеральным агентством лесного хозяйства в отношении древесины, указанной в </w:t>
      </w:r>
      <w:hyperlink w:anchor="P35">
        <w:r>
          <w:rPr>
            <w:color w:val="0000FF"/>
          </w:rPr>
          <w:t>пункте 1</w:t>
        </w:r>
      </w:hyperlink>
      <w:r>
        <w:t xml:space="preserve"> настоящих Правил.</w:t>
      </w:r>
    </w:p>
    <w:p w:rsidR="00C7081D" w:rsidRDefault="00C7081D">
      <w:pPr>
        <w:pStyle w:val="ConsPlusNormal"/>
        <w:spacing w:before="200"/>
        <w:ind w:firstLine="540"/>
        <w:jc w:val="both"/>
      </w:pPr>
      <w:bookmarkStart w:id="6" w:name="P48"/>
      <w:bookmarkEnd w:id="6"/>
      <w:r>
        <w:t>7. Для проверки (сопоставления) и обработки сведений о древесине Федеральным агентством лесного хозяйства утверждаются алгоритмы, которые разрабатываются с учетом сложившихся в лесном комплексе обычаев делового оборота.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8. Алгоритмы, указанные в </w:t>
      </w:r>
      <w:hyperlink w:anchor="P48">
        <w:r>
          <w:rPr>
            <w:color w:val="0000FF"/>
          </w:rPr>
          <w:t>пункте 7</w:t>
        </w:r>
      </w:hyperlink>
      <w:r>
        <w:t xml:space="preserve"> настоящих Правил, должны учитывать: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а) особенности древесины как товара природного происхождения с изменяющимися характеристиками (допускаемые погрешности измерений);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б) нормы воспроизводимости результатов измерений;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в) нормы дебаланса;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г) специфику производственных процессов и заключаемых сделок с древесиной;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д) сведения о документах (идентификаторах документов), формируемых в процессе оборота древесины и хронологически непосредственно предшествующих очередному факту хозяйственной жизни.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9. Лица и органы, указанные в </w:t>
      </w:r>
      <w:hyperlink r:id="rId13">
        <w:r>
          <w:rPr>
            <w:color w:val="0000FF"/>
          </w:rPr>
          <w:t>части 3 статьи 50.1</w:t>
        </w:r>
      </w:hyperlink>
      <w:r>
        <w:t xml:space="preserve"> Лесного кодекса Российской Федерации, осуществляют определение характеристик древесины в соответствии с </w:t>
      </w:r>
      <w:hyperlink w:anchor="P139">
        <w:r>
          <w:rPr>
            <w:color w:val="0000FF"/>
          </w:rPr>
          <w:t>пунктами 31</w:t>
        </w:r>
      </w:hyperlink>
      <w:r>
        <w:t xml:space="preserve"> - </w:t>
      </w:r>
      <w:hyperlink w:anchor="P255">
        <w:r>
          <w:rPr>
            <w:color w:val="0000FF"/>
          </w:rPr>
          <w:t>69</w:t>
        </w:r>
      </w:hyperlink>
      <w:r>
        <w:t xml:space="preserve"> </w:t>
      </w:r>
      <w:r>
        <w:lastRenderedPageBreak/>
        <w:t>настоящих Правил и могут использовать методики (методы) измерений, применяемые при проведении таможенных операций и таможенном контроле, и следующие стандарты: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а) </w:t>
      </w:r>
      <w:hyperlink r:id="rId14">
        <w:r>
          <w:rPr>
            <w:color w:val="0000FF"/>
          </w:rPr>
          <w:t xml:space="preserve">ГОСТ </w:t>
        </w:r>
        <w:proofErr w:type="gramStart"/>
        <w:r>
          <w:rPr>
            <w:color w:val="0000FF"/>
          </w:rPr>
          <w:t>Р</w:t>
        </w:r>
        <w:proofErr w:type="gramEnd"/>
        <w:r>
          <w:rPr>
            <w:color w:val="0000FF"/>
          </w:rPr>
          <w:t xml:space="preserve"> 57738-2017</w:t>
        </w:r>
      </w:hyperlink>
      <w:r>
        <w:t xml:space="preserve"> "Хлысты. Технические условия";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б) </w:t>
      </w:r>
      <w:hyperlink r:id="rId15">
        <w:r>
          <w:rPr>
            <w:color w:val="0000FF"/>
          </w:rPr>
          <w:t xml:space="preserve">ГОСТ </w:t>
        </w:r>
        <w:proofErr w:type="gramStart"/>
        <w:r>
          <w:rPr>
            <w:color w:val="0000FF"/>
          </w:rPr>
          <w:t>Р</w:t>
        </w:r>
        <w:proofErr w:type="gramEnd"/>
        <w:r>
          <w:rPr>
            <w:color w:val="0000FF"/>
          </w:rPr>
          <w:t xml:space="preserve"> 57737-2017</w:t>
        </w:r>
      </w:hyperlink>
      <w:r>
        <w:t xml:space="preserve"> "Хлысты. Методы измерения";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в) </w:t>
      </w:r>
      <w:hyperlink r:id="rId16">
        <w:r>
          <w:rPr>
            <w:color w:val="0000FF"/>
          </w:rPr>
          <w:t>ГОСТ 9463-2016</w:t>
        </w:r>
      </w:hyperlink>
      <w:r>
        <w:t xml:space="preserve"> "Лесоматериалы круглые хвойных пород. Технические условия";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г) </w:t>
      </w:r>
      <w:hyperlink r:id="rId17">
        <w:r>
          <w:rPr>
            <w:color w:val="0000FF"/>
          </w:rPr>
          <w:t>ГОСТ 9462-2016</w:t>
        </w:r>
      </w:hyperlink>
      <w:r>
        <w:t xml:space="preserve"> "Лесоматериалы круглые лиственных пород. Технические условия";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д) </w:t>
      </w:r>
      <w:hyperlink r:id="rId18">
        <w:r>
          <w:rPr>
            <w:color w:val="0000FF"/>
          </w:rPr>
          <w:t>ГОСТ 32594-2013</w:t>
        </w:r>
      </w:hyperlink>
      <w:r>
        <w:t xml:space="preserve"> "Лесоматериалы круглые. Методы измерений";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е) </w:t>
      </w:r>
      <w:hyperlink r:id="rId19">
        <w:r>
          <w:rPr>
            <w:color w:val="0000FF"/>
          </w:rPr>
          <w:t>ГОСТ 8486-86</w:t>
        </w:r>
      </w:hyperlink>
      <w:r>
        <w:t xml:space="preserve"> "Пиломатериалы хвойных пород. Технические условия";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ж) </w:t>
      </w:r>
      <w:hyperlink r:id="rId20">
        <w:r>
          <w:rPr>
            <w:color w:val="0000FF"/>
          </w:rPr>
          <w:t>ГОСТ 2695-83</w:t>
        </w:r>
      </w:hyperlink>
      <w:r>
        <w:t xml:space="preserve"> "Пиломатериалы лиственных пород. Технические условия";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з) </w:t>
      </w:r>
      <w:hyperlink r:id="rId21">
        <w:r>
          <w:rPr>
            <w:color w:val="0000FF"/>
          </w:rPr>
          <w:t>ГОСТ 26002-83</w:t>
        </w:r>
      </w:hyperlink>
      <w:r>
        <w:t xml:space="preserve"> "Пиломатериалы хвойных пород северной сортировки, поставляемые для экспорта. Технические условия";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и) </w:t>
      </w:r>
      <w:hyperlink r:id="rId22">
        <w:r>
          <w:rPr>
            <w:color w:val="0000FF"/>
          </w:rPr>
          <w:t>ГОСТ 6564-84</w:t>
        </w:r>
      </w:hyperlink>
      <w:r>
        <w:t xml:space="preserve"> "Пиломатериалы и заготовки. Правила приемки, методы контроля, маркировка и транспортирование";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к) </w:t>
      </w:r>
      <w:hyperlink r:id="rId23">
        <w:r>
          <w:rPr>
            <w:color w:val="0000FF"/>
          </w:rPr>
          <w:t>ГОСТ 6782.1-75</w:t>
        </w:r>
      </w:hyperlink>
      <w:r>
        <w:t xml:space="preserve"> "Пилопродукция из древесины хвойных пород. Величина усушки";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л) </w:t>
      </w:r>
      <w:hyperlink r:id="rId24">
        <w:r>
          <w:rPr>
            <w:color w:val="0000FF"/>
          </w:rPr>
          <w:t>ГОСТ 6782.2-75</w:t>
        </w:r>
      </w:hyperlink>
      <w:r>
        <w:t xml:space="preserve"> "Пилопродукция из древесины лиственных пород. Величина усушки";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м) ОСТ 13-24-86 "Доски необрезные. Способы учета объема";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н) </w:t>
      </w:r>
      <w:hyperlink r:id="rId25">
        <w:r>
          <w:rPr>
            <w:color w:val="0000FF"/>
          </w:rPr>
          <w:t>ОСТ 13-43-79</w:t>
        </w:r>
        <w:proofErr w:type="gramStart"/>
        <w:r>
          <w:rPr>
            <w:color w:val="0000FF"/>
          </w:rPr>
          <w:t xml:space="preserve"> Е</w:t>
        </w:r>
        <w:proofErr w:type="gramEnd"/>
      </w:hyperlink>
      <w:r>
        <w:t xml:space="preserve"> "Лесоматериалы круглые. Геометрический метод определения объема и оценка качества лесоматериалов, погруженных в вагоны и на автомобили".</w:t>
      </w:r>
    </w:p>
    <w:p w:rsidR="00C7081D" w:rsidRDefault="00C7081D">
      <w:pPr>
        <w:pStyle w:val="ConsPlusNormal"/>
        <w:spacing w:before="200"/>
        <w:ind w:firstLine="540"/>
        <w:jc w:val="both"/>
      </w:pPr>
      <w:bookmarkStart w:id="7" w:name="P69"/>
      <w:bookmarkEnd w:id="7"/>
      <w:r>
        <w:t xml:space="preserve">10. Определение характеристик древесины осуществляется в отношении единицы (объекта) определения характеристик древесины, указанных в </w:t>
      </w:r>
      <w:hyperlink w:anchor="P69">
        <w:r>
          <w:rPr>
            <w:color w:val="0000FF"/>
          </w:rPr>
          <w:t>пункте 11</w:t>
        </w:r>
      </w:hyperlink>
      <w:r>
        <w:t xml:space="preserve"> настоящих Правил.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11. В настоящих </w:t>
      </w:r>
      <w:proofErr w:type="gramStart"/>
      <w:r>
        <w:t>Правилах</w:t>
      </w:r>
      <w:proofErr w:type="gramEnd"/>
      <w:r>
        <w:t xml:space="preserve"> под единицей (объектом) определения характеристик древесины понимается: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а) хлыст (часть ствола спиленного дерева без сучьев, прикорневой части и вершины);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б) сортимент (бревно определенного назначения, образующееся при заготовке древесины или раскряжевке хлыстов);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в) штабель древесины (штабель лесоматериалов) (параллельно и ровно уложенные друг на друга в несколько рядов сортименты или хлысты, часть партии древесины, размещенная отдельно от других частей партии древесины);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г) штабель пиломатериалов (параллельно и ровно уложенные друг на друга ряды или пакеты пиломатериалов без ограничений по их количеству, часть партии пиломатериалов, размещенная отдельно от других частей партии пиломатериалов);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д) пакет пиломатериалов (параллельно и ровно уложенные друг на друга с прокладками или без них ряды пиломатериалов, фиксированных обвязкой, контейнером или другим способом, сформированные для сушки, хранения или транспортировки);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е) партия древесины, пиломатериалов (совокупность сортиментов, штабель, пакет или совокупность пакетов, штабелей со сходными характеристиками, с которыми одновременно или последовательно проведена одна из таких хозяйственных операций, как транспортировка, хранение, сортировка, переработка и учет по одному документу либо по нескольким документам первичного учета).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12. В </w:t>
      </w:r>
      <w:proofErr w:type="gramStart"/>
      <w:r>
        <w:t>целях</w:t>
      </w:r>
      <w:proofErr w:type="gramEnd"/>
      <w:r>
        <w:t xml:space="preserve"> учета древесины определение характеристик древесины осуществляется: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а) лицами, использующими леса или осуществляющими мероприятия по сохранению лесов, - в отношении древесины, полученной при использовании лесов и при осуществлении мероприятий по их сохранению, до вывоза ее из леса;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lastRenderedPageBreak/>
        <w:t xml:space="preserve">б) органами государственной власти, органами местного самоуправления, уполномоченными в соответствии со </w:t>
      </w:r>
      <w:hyperlink r:id="rId26">
        <w:r>
          <w:rPr>
            <w:color w:val="0000FF"/>
          </w:rPr>
          <w:t>статьями 81</w:t>
        </w:r>
      </w:hyperlink>
      <w:r>
        <w:t xml:space="preserve"> - </w:t>
      </w:r>
      <w:hyperlink r:id="rId27">
        <w:r>
          <w:rPr>
            <w:color w:val="0000FF"/>
          </w:rPr>
          <w:t>84</w:t>
        </w:r>
      </w:hyperlink>
      <w:r>
        <w:t xml:space="preserve"> Лесного кодекса Российской Федерации на заключение договоров купли-продажи лесных насаждений для собственных нужд граждан, - в отношении древесины, заготовленной гражданами для собственных нужд;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в) собственниками древесины или уполномоченными ими лицами, а также иными лицами, предусмотренными </w:t>
      </w:r>
      <w:hyperlink r:id="rId28">
        <w:r>
          <w:rPr>
            <w:color w:val="0000FF"/>
          </w:rPr>
          <w:t>частью 5 статьи 50.4</w:t>
        </w:r>
      </w:hyperlink>
      <w:r>
        <w:t xml:space="preserve"> Лесного кодекса Российской Федерации, - в отношении транспортируемой древесины;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г) лицами, владеющими на праве собственности или ином законном основании местами (пунктами) складирования древесины, объектами лесоперерабатывающей инфраструктуры, - в отношении древесины, указанной в </w:t>
      </w:r>
      <w:hyperlink w:anchor="P38">
        <w:r>
          <w:rPr>
            <w:color w:val="0000FF"/>
          </w:rPr>
          <w:t>подпунктах "в"</w:t>
        </w:r>
      </w:hyperlink>
      <w:r>
        <w:t xml:space="preserve"> - </w:t>
      </w:r>
      <w:hyperlink w:anchor="P40">
        <w:r>
          <w:rPr>
            <w:color w:val="0000FF"/>
          </w:rPr>
          <w:t>"д" пункта 1</w:t>
        </w:r>
      </w:hyperlink>
      <w:r>
        <w:t xml:space="preserve"> настоящих Правил;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д) сторонами сделки - в отношении древесины, являющейся предметом сделки.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13. Определение характеристик древесины включает в себя визуальный осмотр, проведение измерений, фиксацию результатов в целях формирования учетных документов, в том числе документов бухгалтерского учета.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14. Определение характеристик древесины может осуществляться с использованием автоматических средств фиксации при обеспечении </w:t>
      </w:r>
      <w:proofErr w:type="gramStart"/>
      <w:r>
        <w:t>контроля за</w:t>
      </w:r>
      <w:proofErr w:type="gramEnd"/>
      <w:r>
        <w:t xml:space="preserve"> качеством определения.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15. </w:t>
      </w:r>
      <w:proofErr w:type="gramStart"/>
      <w:r>
        <w:t xml:space="preserve">Применение кодов Общероссийского </w:t>
      </w:r>
      <w:hyperlink r:id="rId29">
        <w:r>
          <w:rPr>
            <w:color w:val="0000FF"/>
          </w:rPr>
          <w:t>классификатора</w:t>
        </w:r>
      </w:hyperlink>
      <w:r>
        <w:t xml:space="preserve"> продукции по видам экономической деятельности (ОКПД 2) и единой Товарной </w:t>
      </w:r>
      <w:hyperlink r:id="rId30">
        <w:r>
          <w:rPr>
            <w:color w:val="0000FF"/>
          </w:rPr>
          <w:t>номенклатуры</w:t>
        </w:r>
      </w:hyperlink>
      <w:r>
        <w:t xml:space="preserve"> внешнеэкономической деятельности Евразийского экономического союза к определенным единицам учета осуществляется собственниками древесины (уполномоченными ими лицами) самостоятельно путем отнесения этого объекта к соответствующему коду и наименованию позиции Общероссийского </w:t>
      </w:r>
      <w:hyperlink r:id="rId31">
        <w:r>
          <w:rPr>
            <w:color w:val="0000FF"/>
          </w:rPr>
          <w:t>классификатора</w:t>
        </w:r>
      </w:hyperlink>
      <w:r>
        <w:t xml:space="preserve"> продукции по видам экономической деятельности (ОКПД 2) и единой Товарной </w:t>
      </w:r>
      <w:hyperlink r:id="rId32">
        <w:r>
          <w:rPr>
            <w:color w:val="0000FF"/>
          </w:rPr>
          <w:t>номенклатурой</w:t>
        </w:r>
      </w:hyperlink>
      <w:r>
        <w:t xml:space="preserve"> внешнеэкономической деятельности Евразийского экономического союза.</w:t>
      </w:r>
      <w:proofErr w:type="gramEnd"/>
      <w:r>
        <w:t xml:space="preserve"> </w:t>
      </w:r>
      <w:proofErr w:type="gramStart"/>
      <w:r>
        <w:t xml:space="preserve">В отношении древесины, заготовленной гражданами для собственных нужд, применение кодов Общероссийского </w:t>
      </w:r>
      <w:hyperlink r:id="rId33">
        <w:r>
          <w:rPr>
            <w:color w:val="0000FF"/>
          </w:rPr>
          <w:t>классификатора</w:t>
        </w:r>
      </w:hyperlink>
      <w:r>
        <w:t xml:space="preserve"> продукции по видам экономической деятельности (ОКПД 2) к определенным единицам учета осуществляется органами государственной власти, органами местного самоуправления, уполномоченными в соответствии со </w:t>
      </w:r>
      <w:hyperlink r:id="rId34">
        <w:r>
          <w:rPr>
            <w:color w:val="0000FF"/>
          </w:rPr>
          <w:t>статьями 81</w:t>
        </w:r>
      </w:hyperlink>
      <w:r>
        <w:t xml:space="preserve"> - </w:t>
      </w:r>
      <w:hyperlink r:id="rId35">
        <w:r>
          <w:rPr>
            <w:color w:val="0000FF"/>
          </w:rPr>
          <w:t>84</w:t>
        </w:r>
      </w:hyperlink>
      <w:r>
        <w:t xml:space="preserve"> Лесного кодекса Российской Федерации на заключение договоров купли-продажи лесных насаждений для собственных нужд граждан.</w:t>
      </w:r>
      <w:proofErr w:type="gramEnd"/>
    </w:p>
    <w:p w:rsidR="00C7081D" w:rsidRDefault="00C7081D">
      <w:pPr>
        <w:pStyle w:val="ConsPlusNormal"/>
        <w:spacing w:before="200"/>
        <w:ind w:firstLine="540"/>
        <w:jc w:val="both"/>
      </w:pPr>
      <w:bookmarkStart w:id="8" w:name="P86"/>
      <w:bookmarkEnd w:id="8"/>
      <w:r>
        <w:t xml:space="preserve">16. В </w:t>
      </w:r>
      <w:proofErr w:type="gramStart"/>
      <w:r>
        <w:t>целях</w:t>
      </w:r>
      <w:proofErr w:type="gramEnd"/>
      <w:r>
        <w:t xml:space="preserve"> обеспечения прослеживаемости происхождения заготовленной древесины фиксация результатов определения характеристик древесины, полученной при использовании лесов и при осуществлении мероприятий по их сохранению, осуществляется с указанием: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а) документов, подтверждающих законность происхождения полученной древесины (договор аренды лесного участка, лесная декларация, отчет об использовании лесов, договор купли-продажи лесных насаждений, договор купли-продажи древесины и др.);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б) характеристик древесины;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в) места, даты и времени определения характеристик древесины;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г) сведений об изменении характеристик древесины в случае, если собственник древесины принял решение об изменении характеристик древесины, с указанием реквизитов соответствующего документа (наименование, номер, дата).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17. Фиксация определения характеристик древесины осуществляется отдельно по объему заготовленной ликвидной древесины, остатку древесины на лесосеке, а также по объему древесины, использованной на собственные нужды хозяйствующего субъекта (лежневые дороги, отопление, создание погрузочных пунктов, производственных и бытовых объектов и др.).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18. Лица и органы, указанные соответственно в </w:t>
      </w:r>
      <w:hyperlink r:id="rId36">
        <w:r>
          <w:rPr>
            <w:color w:val="0000FF"/>
          </w:rPr>
          <w:t>пунктах 1</w:t>
        </w:r>
      </w:hyperlink>
      <w:r>
        <w:t xml:space="preserve"> и </w:t>
      </w:r>
      <w:hyperlink r:id="rId37">
        <w:r>
          <w:rPr>
            <w:color w:val="0000FF"/>
          </w:rPr>
          <w:t>2 части 3 статьи 50.1</w:t>
        </w:r>
      </w:hyperlink>
      <w:r>
        <w:t xml:space="preserve"> Лесного кодекса Российской Федерации, осуществляют внесение сведений, указанных в </w:t>
      </w:r>
      <w:hyperlink w:anchor="P86">
        <w:r>
          <w:rPr>
            <w:color w:val="0000FF"/>
          </w:rPr>
          <w:t>пункте 16</w:t>
        </w:r>
      </w:hyperlink>
      <w:r>
        <w:t xml:space="preserve"> настоящих Правил, в информационную систему и реестр путем учета фактического объема полученной древесины на лесосеке, в том числе для формирования отчета об использовании лесов.</w:t>
      </w:r>
    </w:p>
    <w:p w:rsidR="00C7081D" w:rsidRDefault="00C7081D">
      <w:pPr>
        <w:pStyle w:val="ConsPlusNormal"/>
        <w:spacing w:before="200"/>
        <w:ind w:firstLine="540"/>
        <w:jc w:val="both"/>
      </w:pPr>
      <w:bookmarkStart w:id="9" w:name="P93"/>
      <w:bookmarkEnd w:id="9"/>
      <w:r>
        <w:t xml:space="preserve">19. В </w:t>
      </w:r>
      <w:proofErr w:type="gramStart"/>
      <w:r>
        <w:t>целях</w:t>
      </w:r>
      <w:proofErr w:type="gramEnd"/>
      <w:r>
        <w:t xml:space="preserve"> обеспечения прослеживаемости происхождения транспортируемой древесины фиксация результатов определения ее характеристик осуществляется с указанием: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lastRenderedPageBreak/>
        <w:t>а) собственника древесины;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б) грузоотправителя древесины;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в) грузополучателя древесины;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г) перевозчика древесины;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д) реквизитов сделок с древесиной, в том числе номера декларации о сделках с древесиной (в случае если совершались сделки с древесиной и транспортировка осуществляется в связи с совершением сделок с древесиной);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е) даты и времени оформления и прекращения действия электронного сопроводительного документа на транспортировку древесины;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ж) идентификационного номера электронного сопроводительного документа;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з) характеристик древесины;</w:t>
      </w:r>
    </w:p>
    <w:p w:rsidR="00C7081D" w:rsidRDefault="00C7081D">
      <w:pPr>
        <w:pStyle w:val="ConsPlusNormal"/>
        <w:spacing w:before="200"/>
        <w:ind w:firstLine="540"/>
        <w:jc w:val="both"/>
      </w:pPr>
      <w:bookmarkStart w:id="10" w:name="P102"/>
      <w:bookmarkEnd w:id="10"/>
      <w:r>
        <w:t>и) пункта отправления и назначения, мест фактического пересечения транспортным средством государственной границы Российской Федерации при вывозе древесины из Российской Федерации;</w:t>
      </w:r>
    </w:p>
    <w:p w:rsidR="00C7081D" w:rsidRDefault="00C7081D">
      <w:pPr>
        <w:pStyle w:val="ConsPlusNormal"/>
        <w:spacing w:before="200"/>
        <w:ind w:firstLine="540"/>
        <w:jc w:val="both"/>
      </w:pPr>
      <w:bookmarkStart w:id="11" w:name="P103"/>
      <w:bookmarkEnd w:id="11"/>
      <w:r>
        <w:t>к) номера государственного регистрационного знака транспортного средства, на котором осуществляется транспортировка древесины (в случае ее транспортировки автомобильным транспортом).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20. В случае приобретения древесины на розничном рынке или в организации розничной торговли в объеме 10 куб. метров и более сведения о пункте назначения и номере государственного регистрационного знака транспортного средства, на котором осуществляется транспортировка древесины, предусмотренные </w:t>
      </w:r>
      <w:hyperlink w:anchor="P102">
        <w:r>
          <w:rPr>
            <w:color w:val="0000FF"/>
          </w:rPr>
          <w:t>подпунктами "и"</w:t>
        </w:r>
      </w:hyperlink>
      <w:r>
        <w:t xml:space="preserve"> и </w:t>
      </w:r>
      <w:hyperlink w:anchor="P103">
        <w:r>
          <w:rPr>
            <w:color w:val="0000FF"/>
          </w:rPr>
          <w:t>"</w:t>
        </w:r>
        <w:proofErr w:type="gramStart"/>
        <w:r>
          <w:rPr>
            <w:color w:val="0000FF"/>
          </w:rPr>
          <w:t>к</w:t>
        </w:r>
        <w:proofErr w:type="gramEnd"/>
        <w:r>
          <w:rPr>
            <w:color w:val="0000FF"/>
          </w:rPr>
          <w:t>" пункта 19</w:t>
        </w:r>
      </w:hyperlink>
      <w:r>
        <w:t xml:space="preserve"> настоящих Правил, не указываются.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21. Положения </w:t>
      </w:r>
      <w:hyperlink w:anchor="P93">
        <w:r>
          <w:rPr>
            <w:color w:val="0000FF"/>
          </w:rPr>
          <w:t>пункта 19</w:t>
        </w:r>
      </w:hyperlink>
      <w:r>
        <w:t xml:space="preserve"> настоящих Правил не применяются к транспортировке древесины в следующих случаях: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а) заготовка ее гражданами для собственных нужд;</w:t>
      </w:r>
    </w:p>
    <w:p w:rsidR="00C7081D" w:rsidRDefault="00C7081D">
      <w:pPr>
        <w:pStyle w:val="ConsPlusNormal"/>
        <w:spacing w:before="200"/>
        <w:ind w:firstLine="540"/>
        <w:jc w:val="both"/>
      </w:pPr>
      <w:proofErr w:type="gramStart"/>
      <w:r>
        <w:t xml:space="preserve">б) приобретение права собственности на древесину в связи с использованием лесов по основанию, предусмотренному Лесным </w:t>
      </w:r>
      <w:hyperlink r:id="rId38">
        <w:r>
          <w:rPr>
            <w:color w:val="0000FF"/>
          </w:rPr>
          <w:t>кодексом</w:t>
        </w:r>
      </w:hyperlink>
      <w:r>
        <w:t xml:space="preserve"> Российской Федерации, если совершение таких операций осуществляется в границах лесосеки;</w:t>
      </w:r>
      <w:proofErr w:type="gramEnd"/>
    </w:p>
    <w:p w:rsidR="00C7081D" w:rsidRDefault="00C7081D">
      <w:pPr>
        <w:pStyle w:val="ConsPlusNormal"/>
        <w:spacing w:before="200"/>
        <w:ind w:firstLine="540"/>
        <w:jc w:val="both"/>
      </w:pPr>
      <w:r>
        <w:t>в) приобретение на розничном рынке или в организации розничной торговли древесины в объеме до 10 куб. метров.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22. Лица, указанные в </w:t>
      </w:r>
      <w:hyperlink r:id="rId39">
        <w:r>
          <w:rPr>
            <w:color w:val="0000FF"/>
          </w:rPr>
          <w:t>пункте 3 части 3 статьи 50.1</w:t>
        </w:r>
      </w:hyperlink>
      <w:r>
        <w:t xml:space="preserve"> Лесного кодекса Российской Федерации, осуществляют внесение сведений, указанных в </w:t>
      </w:r>
      <w:hyperlink w:anchor="P93">
        <w:r>
          <w:rPr>
            <w:color w:val="0000FF"/>
          </w:rPr>
          <w:t>пункте 19</w:t>
        </w:r>
      </w:hyperlink>
      <w:r>
        <w:t xml:space="preserve"> настоящих Правил, в информационную систему и реестр путем формирования электронного сопроводительного документа.</w:t>
      </w:r>
    </w:p>
    <w:p w:rsidR="00C7081D" w:rsidRDefault="00C7081D">
      <w:pPr>
        <w:pStyle w:val="ConsPlusNormal"/>
        <w:spacing w:before="200"/>
        <w:ind w:firstLine="540"/>
        <w:jc w:val="both"/>
      </w:pPr>
      <w:bookmarkStart w:id="12" w:name="P110"/>
      <w:bookmarkEnd w:id="12"/>
      <w:r>
        <w:t xml:space="preserve">23. В </w:t>
      </w:r>
      <w:proofErr w:type="gramStart"/>
      <w:r>
        <w:t>целях</w:t>
      </w:r>
      <w:proofErr w:type="gramEnd"/>
      <w:r>
        <w:t xml:space="preserve"> обеспечения прослеживаемости происхождения складируемой (хранящейся) древесины фиксация результатов определения характеристик древесины, размещенной в местах (пунктах) складирования древесины, осуществляется с указанием: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а) идентификационного номера места (пункта) складирования древесины;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б) собственника древесины;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в) характеристик древесины;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г) даты и времени фиксации результатов определения характеристик древесины;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д) сведений о лице (фамилия, имя, отчество (при наличии) и должность), осуществляющем фиксацию результатов определения видов древесины и объема каждого вида древесины;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е) сведений об изменении характеристик древесины в случае, если собственник древесины принял соответствующее решение, с указанием реквизитов документа, подтверждающего такое </w:t>
      </w:r>
      <w:r>
        <w:lastRenderedPageBreak/>
        <w:t>решение (наименование, номер, дата);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ж) сведений о древесине, которая списана на собственные нужды хозяйствующего субъекта на основании документов, оформленных собственником древесины, с указанием реквизитов такого документа (наименование, номер, дата);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з) сведений о древесине, которая ввезена на склад или вывезена со склада, с указанием идентификационного номера электронного сопроводительного документа.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24. Лица, которым на законных основаниях принадлежат склады древесины, в целях учета древесины осуществляют внесение данных, указанных в </w:t>
      </w:r>
      <w:hyperlink w:anchor="P110">
        <w:r>
          <w:rPr>
            <w:color w:val="0000FF"/>
          </w:rPr>
          <w:t>пункте 23</w:t>
        </w:r>
      </w:hyperlink>
      <w:r>
        <w:t xml:space="preserve"> настоящих Правил, в информационную систему и реестр путем формирования отчета о ввезенной на склад или вывезенной со склада древесине (отчет о балансе древесины).</w:t>
      </w:r>
    </w:p>
    <w:p w:rsidR="00C7081D" w:rsidRDefault="00C7081D">
      <w:pPr>
        <w:pStyle w:val="ConsPlusNormal"/>
        <w:spacing w:before="200"/>
        <w:ind w:firstLine="540"/>
        <w:jc w:val="both"/>
      </w:pPr>
      <w:bookmarkStart w:id="13" w:name="P120"/>
      <w:bookmarkEnd w:id="13"/>
      <w:r>
        <w:t xml:space="preserve">25. В </w:t>
      </w:r>
      <w:proofErr w:type="gramStart"/>
      <w:r>
        <w:t>целях</w:t>
      </w:r>
      <w:proofErr w:type="gramEnd"/>
      <w:r>
        <w:t xml:space="preserve"> обеспечения прослеживаемости происхождения древесины, поступившей для переработки, древесины, которая перерабатывается, фиксация результатов осуществляется с указанием: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а) идентификационного номера объекта лесоперерабатывающей инфраструктуры;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б) собственника древесины;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в) характеристик древесины, поступившей на переработку, характеристик древесины, которая перерабатывается, с указанием соответствующих кодов по Общероссийскому </w:t>
      </w:r>
      <w:hyperlink r:id="rId40">
        <w:r>
          <w:rPr>
            <w:color w:val="0000FF"/>
          </w:rPr>
          <w:t>классификатору</w:t>
        </w:r>
      </w:hyperlink>
      <w:r>
        <w:t xml:space="preserve"> продукции по видам экономической деятельности (ОКПД 2);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г) даты </w:t>
      </w:r>
      <w:proofErr w:type="gramStart"/>
      <w:r>
        <w:t>фиксации результатов определения характеристик древесины каждого вида</w:t>
      </w:r>
      <w:proofErr w:type="gramEnd"/>
      <w:r>
        <w:t xml:space="preserve"> до и после переработки;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д) идентификационного номера электронного сопроводительного документа, в соответствии с которым древесина поступила на объект лесоперерабатывающей инфраструктуры;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е) информации о количественных и качественных характеристиках произведенной древесины (наименование, объем).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26. Лица, которым на законных основаниях принадлежат объекты лесоперерабатывающей инфраструктуры, в целях учета древесины осуществляют внесение данных, указанных в </w:t>
      </w:r>
      <w:hyperlink w:anchor="P120">
        <w:r>
          <w:rPr>
            <w:color w:val="0000FF"/>
          </w:rPr>
          <w:t>пункте 25</w:t>
        </w:r>
      </w:hyperlink>
      <w:r>
        <w:t xml:space="preserve"> настоящих Правил, в информационную систему и реестр путем формирования отчета о древесине.</w:t>
      </w:r>
    </w:p>
    <w:p w:rsidR="00C7081D" w:rsidRDefault="00C7081D">
      <w:pPr>
        <w:pStyle w:val="ConsPlusNormal"/>
        <w:spacing w:before="200"/>
        <w:ind w:firstLine="540"/>
        <w:jc w:val="both"/>
      </w:pPr>
      <w:bookmarkStart w:id="14" w:name="P128"/>
      <w:bookmarkEnd w:id="14"/>
      <w:r>
        <w:t xml:space="preserve">27. В </w:t>
      </w:r>
      <w:proofErr w:type="gramStart"/>
      <w:r>
        <w:t>целях</w:t>
      </w:r>
      <w:proofErr w:type="gramEnd"/>
      <w:r>
        <w:t xml:space="preserve"> обеспечения прослеживаемости происхождения древесины, являющейся предметом сделок, фиксация результатов определения характеристик древесины в ходе реализации заключенной сделки осуществляется с указанием: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а) информации о собственниках древесины и сторонах сделки;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б) характеристик древесины;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в) сведений о договоре купли-продажи древесины, по которому она приобретается или отчуждается (наименования сторон договора, дата заключения и номер договора, срок его действия, характеристики древесины (по договору);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г) сведений о месте складирования древесины (при наличии);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д) даты фиксации характеристик древесины;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е) идентификационного номера сделки.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28. Юридические лица и индивидуальные предприниматели, совершившие сделки с древесиной, вносят данные, указанные в </w:t>
      </w:r>
      <w:hyperlink w:anchor="P128">
        <w:r>
          <w:rPr>
            <w:color w:val="0000FF"/>
          </w:rPr>
          <w:t>пункте 27</w:t>
        </w:r>
      </w:hyperlink>
      <w:r>
        <w:t xml:space="preserve"> настоящих Правил, в информационную систему и реестр путем формирования декларации о сделке с древесиной.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29. Результаты измерения объема древесины фиксируются в кубических метрах без учета промежутков и пустот (далее - плотные кубические метры) с округлением значения до 2 знаков после запятой при учете партии древесины и до 3 знаков - при поштучном учете древесины.</w:t>
      </w:r>
    </w:p>
    <w:p w:rsidR="00C7081D" w:rsidRDefault="00C7081D">
      <w:pPr>
        <w:pStyle w:val="ConsPlusNormal"/>
        <w:spacing w:before="200"/>
        <w:ind w:firstLine="540"/>
        <w:jc w:val="both"/>
      </w:pPr>
      <w:proofErr w:type="gramStart"/>
      <w:r>
        <w:lastRenderedPageBreak/>
        <w:t>Определение объема древесины, транспортируемой в целях вывоза из Российской Федерации, перевозки по территории Российской Федерации под таможенным контролем, временного хранения, таможенного декларирования и выпуска фиксируется в плотных кубических метрах с корой и с припусками с округлением значения до 3 знаков после запятой в соответствии с методиками (методами) измерений, применяемых при проведении таможенных операций и таможенном контроле.</w:t>
      </w:r>
      <w:proofErr w:type="gramEnd"/>
    </w:p>
    <w:p w:rsidR="00C7081D" w:rsidRDefault="00C7081D">
      <w:pPr>
        <w:pStyle w:val="ConsPlusNormal"/>
        <w:spacing w:before="200"/>
        <w:ind w:firstLine="540"/>
        <w:jc w:val="both"/>
      </w:pPr>
      <w:r>
        <w:t>30. Древесина, сведения о которой не внесены в информационную систему и реестр либо внесены с нарушением требований настоящих Правил, или древесина, о которой внесены недостоверные сведения, считается неучтенной.</w:t>
      </w:r>
    </w:p>
    <w:p w:rsidR="00C7081D" w:rsidRDefault="00C7081D">
      <w:pPr>
        <w:pStyle w:val="ConsPlusNormal"/>
        <w:spacing w:before="200"/>
        <w:ind w:firstLine="540"/>
        <w:jc w:val="both"/>
      </w:pPr>
      <w:bookmarkStart w:id="15" w:name="P139"/>
      <w:bookmarkEnd w:id="15"/>
      <w:r>
        <w:t xml:space="preserve">31. В настоящих </w:t>
      </w:r>
      <w:proofErr w:type="gramStart"/>
      <w:r>
        <w:t>Правилах</w:t>
      </w:r>
      <w:proofErr w:type="gramEnd"/>
      <w:r>
        <w:t xml:space="preserve"> под единицей (объектом) определения характеристик сортиментов понимаются сортимент, штабель сортиментов или партия сортиментов.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32. Определение характеристик сортиментов с учетом потребности потребителей (покупателей) по согласованию с производителями (поставщиками) включает в себя определение объема, видового (породного) и сортиментного состава древесины.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При определении сортиментного состава производится осмотр торцов и видимой части боковой поверхности, оцениваются кривизна сортимента, диаметр сучков и высота их остатков, вид и размер гнили, цвет, форма и диаметр ядра, а также другие признаки, характеризующие особенности сортимента.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При определении объема древесины производятся необходимые измерения и вычисления в соответствии с методами, указанными в </w:t>
      </w:r>
      <w:hyperlink w:anchor="P151">
        <w:r>
          <w:rPr>
            <w:color w:val="0000FF"/>
          </w:rPr>
          <w:t>пунктах 37</w:t>
        </w:r>
      </w:hyperlink>
      <w:r>
        <w:t xml:space="preserve"> и </w:t>
      </w:r>
      <w:hyperlink w:anchor="P156">
        <w:r>
          <w:rPr>
            <w:color w:val="0000FF"/>
          </w:rPr>
          <w:t>38</w:t>
        </w:r>
      </w:hyperlink>
      <w:r>
        <w:t xml:space="preserve"> настоящих Правил, а также в </w:t>
      </w:r>
      <w:hyperlink r:id="rId41">
        <w:r>
          <w:rPr>
            <w:color w:val="0000FF"/>
          </w:rPr>
          <w:t>разделах 1</w:t>
        </w:r>
      </w:hyperlink>
      <w:r>
        <w:t xml:space="preserve"> - </w:t>
      </w:r>
      <w:hyperlink r:id="rId42">
        <w:r>
          <w:rPr>
            <w:color w:val="0000FF"/>
          </w:rPr>
          <w:t>7</w:t>
        </w:r>
      </w:hyperlink>
      <w:r>
        <w:t xml:space="preserve"> и </w:t>
      </w:r>
      <w:hyperlink r:id="rId43">
        <w:r>
          <w:rPr>
            <w:color w:val="0000FF"/>
          </w:rPr>
          <w:t>9</w:t>
        </w:r>
      </w:hyperlink>
      <w:r>
        <w:t xml:space="preserve"> ГОСТа 32594-2013 "Лесоматериалы круглые. Методы измерений", </w:t>
      </w:r>
      <w:hyperlink r:id="rId44">
        <w:proofErr w:type="gramStart"/>
        <w:r>
          <w:rPr>
            <w:color w:val="0000FF"/>
          </w:rPr>
          <w:t>разделах</w:t>
        </w:r>
        <w:proofErr w:type="gramEnd"/>
        <w:r>
          <w:rPr>
            <w:color w:val="0000FF"/>
          </w:rPr>
          <w:t xml:space="preserve"> 1</w:t>
        </w:r>
      </w:hyperlink>
      <w:r>
        <w:t xml:space="preserve">, </w:t>
      </w:r>
      <w:hyperlink r:id="rId45">
        <w:r>
          <w:rPr>
            <w:color w:val="0000FF"/>
          </w:rPr>
          <w:t>2</w:t>
        </w:r>
      </w:hyperlink>
      <w:r>
        <w:t xml:space="preserve">, и </w:t>
      </w:r>
      <w:hyperlink r:id="rId46">
        <w:r>
          <w:rPr>
            <w:color w:val="0000FF"/>
          </w:rPr>
          <w:t>6</w:t>
        </w:r>
      </w:hyperlink>
      <w:r>
        <w:t xml:space="preserve"> (за исключением </w:t>
      </w:r>
      <w:hyperlink r:id="rId47">
        <w:r>
          <w:rPr>
            <w:color w:val="0000FF"/>
          </w:rPr>
          <w:t>пунктов 6.4</w:t>
        </w:r>
      </w:hyperlink>
      <w:r>
        <w:t xml:space="preserve">, </w:t>
      </w:r>
      <w:hyperlink r:id="rId48">
        <w:r>
          <w:rPr>
            <w:color w:val="0000FF"/>
          </w:rPr>
          <w:t>6.5</w:t>
        </w:r>
      </w:hyperlink>
      <w:r>
        <w:t xml:space="preserve">) ГОСТ 9463-2016 "Лесоматериалы круглые хвойных пород. Технические условия", </w:t>
      </w:r>
      <w:hyperlink r:id="rId49">
        <w:proofErr w:type="gramStart"/>
        <w:r>
          <w:rPr>
            <w:color w:val="0000FF"/>
          </w:rPr>
          <w:t>разделах</w:t>
        </w:r>
        <w:proofErr w:type="gramEnd"/>
        <w:r>
          <w:rPr>
            <w:color w:val="0000FF"/>
          </w:rPr>
          <w:t xml:space="preserve"> 1</w:t>
        </w:r>
      </w:hyperlink>
      <w:r>
        <w:t xml:space="preserve">, </w:t>
      </w:r>
      <w:hyperlink r:id="rId50">
        <w:r>
          <w:rPr>
            <w:color w:val="0000FF"/>
          </w:rPr>
          <w:t>2</w:t>
        </w:r>
      </w:hyperlink>
      <w:r>
        <w:t xml:space="preserve"> и </w:t>
      </w:r>
      <w:hyperlink r:id="rId51">
        <w:r>
          <w:rPr>
            <w:color w:val="0000FF"/>
          </w:rPr>
          <w:t>6</w:t>
        </w:r>
      </w:hyperlink>
      <w:r>
        <w:t xml:space="preserve"> (за исключением </w:t>
      </w:r>
      <w:hyperlink r:id="rId52">
        <w:r>
          <w:rPr>
            <w:color w:val="0000FF"/>
          </w:rPr>
          <w:t>пунктов 6.4</w:t>
        </w:r>
      </w:hyperlink>
      <w:r>
        <w:t xml:space="preserve">, </w:t>
      </w:r>
      <w:hyperlink r:id="rId53">
        <w:r>
          <w:rPr>
            <w:color w:val="0000FF"/>
          </w:rPr>
          <w:t>6.5</w:t>
        </w:r>
      </w:hyperlink>
      <w:r>
        <w:t>) ГОСТ 9462-2016 "Лесоматериалы круглые лиственных пород. Технические условия".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33. Определение характеристик сортиментов осуществляется путем учета сортиментов - отнесения отдельных единиц определения характеристик к соответствующим породам и сортиментам по кодам Общероссийского </w:t>
      </w:r>
      <w:hyperlink r:id="rId54">
        <w:r>
          <w:rPr>
            <w:color w:val="0000FF"/>
          </w:rPr>
          <w:t>классификатора</w:t>
        </w:r>
      </w:hyperlink>
      <w:r>
        <w:t xml:space="preserve"> продукции по видам экономической деятельности (ОКПД 2) и определения объема сортиментов.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34. Учет сортиментов состоит из совокупности операций, зависящих от цели их проведения (хозяйственная, контрольная), заданной точности и места проведения. В зависимости от целей определения характеристик сортиментов используются следующие виды учета:</w:t>
      </w:r>
    </w:p>
    <w:p w:rsidR="00C7081D" w:rsidRDefault="00C7081D">
      <w:pPr>
        <w:pStyle w:val="ConsPlusNormal"/>
        <w:spacing w:before="200"/>
        <w:ind w:firstLine="540"/>
        <w:jc w:val="both"/>
      </w:pPr>
      <w:proofErr w:type="gramStart"/>
      <w:r>
        <w:t>а) рабочий учет сортиментов - учет партии сортиментов, прошедшей определенную производственную, транспортную и коммерческую операцию или находящейся на хранении;</w:t>
      </w:r>
      <w:proofErr w:type="gramEnd"/>
    </w:p>
    <w:p w:rsidR="00C7081D" w:rsidRDefault="00C7081D">
      <w:pPr>
        <w:pStyle w:val="ConsPlusNormal"/>
        <w:spacing w:before="200"/>
        <w:ind w:firstLine="540"/>
        <w:jc w:val="both"/>
      </w:pPr>
      <w:r>
        <w:t>б) контрольный выборочный учет сортиментов (далее - контрольный учет) - учет штабелей из транспортных партий сортиментов, прошедших рабочий учет и отобранных в случайную выборку, выполняемый с использованием поштучного опорного метода для определения погрешностей рабочего учета и повышения его точности;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в) повторный учет партии сортиментов - учет партий сортиментов, который проводится рабочими методами, для проверки результатов первого учета той же самой партии сортиментов.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35. Результаты учета сортиментов фиксируются в плотных кубических метрах с округлением значения до 2 знаков после запятой при учете партии сортиментов и до 3 знаков - при поштучном обмере сортиментов.</w:t>
      </w:r>
    </w:p>
    <w:p w:rsidR="00C7081D" w:rsidRDefault="00C7081D">
      <w:pPr>
        <w:pStyle w:val="ConsPlusNormal"/>
        <w:spacing w:before="200"/>
        <w:ind w:firstLine="540"/>
        <w:jc w:val="both"/>
      </w:pPr>
      <w:proofErr w:type="gramStart"/>
      <w:r>
        <w:t>Результаты определения сортиментов, транспортируемых в целях вывоза из Российской Федерации, перевозки по территории Российской Федерации под таможенным контролем, временного хранения, таможенного декларирования и выпуска, фиксируются в плотных кубических метрах с корой и с припусками с округлением значения до 3 знаков после запятой в соответствии с методиками (методами) измерений, применяемых при проведении таможенных операций и таможенном контроле.</w:t>
      </w:r>
      <w:proofErr w:type="gramEnd"/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36. Учет сортиментов проводится по объему содержащейся в них древесины без учета коры и припусков, за исключением древесины, являющейся предметом внешнеэкономических сделок. Учет сортиментов в целях вывоза из Российской Федерации осуществляется с указанием номинального объема (без учета коры и припусков) и фактического объема (с учетом коры и </w:t>
      </w:r>
      <w:r>
        <w:lastRenderedPageBreak/>
        <w:t>припусков).</w:t>
      </w:r>
    </w:p>
    <w:p w:rsidR="00C7081D" w:rsidRDefault="00C7081D">
      <w:pPr>
        <w:pStyle w:val="ConsPlusNormal"/>
        <w:spacing w:before="200"/>
        <w:ind w:firstLine="540"/>
        <w:jc w:val="both"/>
      </w:pPr>
      <w:bookmarkStart w:id="16" w:name="P151"/>
      <w:bookmarkEnd w:id="16"/>
      <w:r>
        <w:t>37. При рабочем учете партий сортиментов используют групповые и поштучные методы учета сортиментов. Рабочий учет партии сортимента состоит из совокупности операций, включающих: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а) регистрацию реквизитов партии сортимента, подлежащей учету;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б) измерение общего объема партии сортимента;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в) определение видового (породного) и сортиментного состава древесины;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г) обработку и оформление результатов учета партии сортимента.</w:t>
      </w:r>
    </w:p>
    <w:p w:rsidR="00C7081D" w:rsidRDefault="00C7081D">
      <w:pPr>
        <w:pStyle w:val="ConsPlusNormal"/>
        <w:spacing w:before="200"/>
        <w:ind w:firstLine="540"/>
        <w:jc w:val="both"/>
      </w:pPr>
      <w:bookmarkStart w:id="17" w:name="P156"/>
      <w:bookmarkEnd w:id="17"/>
      <w:r>
        <w:t xml:space="preserve">38. Данные контрольного учета применяются юридическими лицами и индивидуальными предпринимателями при необходимости повышения точности рабочих методов учета для соблюдения требований к установленным погрешностям. В </w:t>
      </w:r>
      <w:proofErr w:type="gramStart"/>
      <w:r>
        <w:t>качестве</w:t>
      </w:r>
      <w:proofErr w:type="gramEnd"/>
      <w:r>
        <w:t xml:space="preserve"> опорного метода выбирается наиболее точный метод поштучного учета, в том числе метод концевых сечений.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39. Контролируемой совокупностью сортимента считается партия сортимента, в отношении которой </w:t>
      </w:r>
      <w:proofErr w:type="gramStart"/>
      <w:r>
        <w:t>проводился рабочий учет и имелась</w:t>
      </w:r>
      <w:proofErr w:type="gramEnd"/>
      <w:r>
        <w:t xml:space="preserve"> возможность случайного отбора принятых штабелей в выборку для поштучного учета. Единицей случайного отбора сортимента в выборку контролируемой совокупности является штабель сортимента.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40. Если отклонение объема штабеля сортимента при рабочем измерении от объема того же штабеля, измеренного при выборочном контрольном учете, не превышает допускаемые погрешности измерения объема штабеля сортимента согласно </w:t>
      </w:r>
      <w:hyperlink w:anchor="P267">
        <w:r>
          <w:rPr>
            <w:color w:val="0000FF"/>
          </w:rPr>
          <w:t>приложению N 1</w:t>
        </w:r>
      </w:hyperlink>
      <w:r>
        <w:t xml:space="preserve">, считается, что контрольное измерение подтвердило результаты рабочего измерения. </w:t>
      </w:r>
      <w:proofErr w:type="gramStart"/>
      <w:r>
        <w:t>При нарушении этого условия окончательными признаются результаты контрольного учета с корректировкой по ним результатов рабочего учета партии сортимента в соответствующем разделе очередного отчета о ввезенной на склад или вывезенной со склада древесине (отчет о балансе древесины), отчета о древесине, которая поступает на объект лесоперерабатывающей инфраструктуры, древесине, которая перерабатывается (отчет о древесине), а также в иных документах первичного учета.</w:t>
      </w:r>
      <w:proofErr w:type="gramEnd"/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41. Результаты контрольного учета оформляются </w:t>
      </w:r>
      <w:proofErr w:type="gramStart"/>
      <w:r>
        <w:t>документально</w:t>
      </w:r>
      <w:proofErr w:type="gramEnd"/>
      <w:r>
        <w:t xml:space="preserve"> и используется при разработке мероприятий по соблюдению требований к погрешностям измерения объема сортиментов.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42. Юридические лица и индивидуальные предприниматели, осуществляющие учет древесины при приемке сортиментов на объекты лесоперерабатывающей инфраструктуры и учет при отгрузке сортиментов на экспорт, определяют необходимость организации проведения контрольного учета в целях контроля и регулирования погрешностей учета для соблюдения требований к погрешностям измерения объема самостоятельно.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43. Погрешность измерения групповыми методами партий сортимента объемом 15 куб. метров и более и поштучными методами партий сортимента объемом 10 куб. метров и более, состоящих из одного или нескольких штабелей контролируемой совокупности сортимента, зависит от объема партии и не должна превышать значения, предусмотренные </w:t>
      </w:r>
      <w:hyperlink w:anchor="P267">
        <w:r>
          <w:rPr>
            <w:color w:val="0000FF"/>
          </w:rPr>
          <w:t>приложением N 1</w:t>
        </w:r>
      </w:hyperlink>
      <w:r>
        <w:t xml:space="preserve"> к настоящим Правилам. Для партий сортиментов объемом менее объема, указанного в этом </w:t>
      </w:r>
      <w:hyperlink w:anchor="P267">
        <w:r>
          <w:rPr>
            <w:color w:val="0000FF"/>
          </w:rPr>
          <w:t>приложении</w:t>
        </w:r>
      </w:hyperlink>
      <w:r>
        <w:t>, погрешности не нормируются.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44. Результаты учета отдельных партий сортиментов при приемке на склад (как с переходом, так и без перехода права собственности на древесину) считаются окончательными, а результаты учета при отгрузке с лесосеки или с предыдущего склада - предварительными.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45. При организации использования лесов и при осуществлении мероприятий по их сохранению (на лесосеках) проводятся следующие операции рабочего учета сортиментов или контрольного учета: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а) учет заготовленных сортиментов, подлежащих вывозке или использованию на лесосеке;</w:t>
      </w:r>
    </w:p>
    <w:p w:rsidR="00C7081D" w:rsidRDefault="00C7081D">
      <w:pPr>
        <w:pStyle w:val="ConsPlusNormal"/>
        <w:spacing w:before="200"/>
        <w:ind w:firstLine="540"/>
        <w:jc w:val="both"/>
      </w:pPr>
      <w:proofErr w:type="gramStart"/>
      <w:r>
        <w:t>б) учет расхода сортиментов на собственные нужды;</w:t>
      </w:r>
      <w:proofErr w:type="gramEnd"/>
    </w:p>
    <w:p w:rsidR="00C7081D" w:rsidRDefault="00C7081D">
      <w:pPr>
        <w:pStyle w:val="ConsPlusNormal"/>
        <w:spacing w:before="200"/>
        <w:ind w:firstLine="540"/>
        <w:jc w:val="both"/>
      </w:pPr>
      <w:r>
        <w:t>в) учет технологических потерь на лесосеке;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lastRenderedPageBreak/>
        <w:t>г) учет сортиментов, находящихся на хранении в штабелях на лесосеке;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д) учет транспортных партий сортиментов, отгружаемых для вывозки с лесосеки на склады назначения;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е) учет объема отгруженных сортиментов, но не принятых грузополучателем ("сортименты в пути");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ж) корректировка результатов учета отгруженных транспортных партий сортиментов по результатам учета при приемке сортиментов грузополучателем (при необходимости);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з) корректировка результатов первого учета сортиментов рабочим методом по результатам контрольного учета (при необходимости);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и) инвентаризация сортиментов на лесосеке и определение дебаланса объема по каждому из сортиментов;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к) корректировка объема заготовки каждого из сортиментов на выявленную величину его дебаланса (при необходимости).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46. При хранении (складировании) древесины проводятся следующие операции рабочего учета сортиментов или контрольного учета на складах: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а) учет поступающих на склад транспортных партий сортиментов, принятие решения об их приемке, отбор штабелей в случайную выборку для контрольного учета, а также фиксация (регистрация) места разгрузки;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б) контрольный поштучный учет штабеля (пучка при сплаве) из принятой транспортной партии сортимента при их попадании в случайную выборку. Объем случайной выборки штабелей сортимента, принятых за учетный период, определяется юридическим лицом и индивидуальным предпринимателем, являющимися собственниками древесины;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в) учет сортиментов транспортной партии или ее части (штабеля), не признанных годными при приемке (рекламационный штабель или партия сортиментов);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г) учет результатов пересортировки и доработки сортиментов на складе - приход или расход сортимента в результате выполнения этих операций;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д) учет расхода сортимента на собственные нужды;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е) учет технологических потерь сортимента;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ж) учет партий сортимента при отгрузке со склада;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з) корректировка результатов учета объема отгруженных со склада транспортных партий сортиментов по результатам их учета при приемке на складах назначения (при необходимости);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и) учет остатков сортимента на складе на конец отчетного периода;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к) корректировка результатов первого учета партии сортиментов рабочим методом по результатам контрольного учета в случае, если погрешность измерения объема древесины оказалась выше погрешности, предусмотренной </w:t>
      </w:r>
      <w:hyperlink w:anchor="P267">
        <w:r>
          <w:rPr>
            <w:color w:val="0000FF"/>
          </w:rPr>
          <w:t>приложением N 1</w:t>
        </w:r>
      </w:hyperlink>
      <w:r>
        <w:t xml:space="preserve"> к настоящим Правилам (при необходимости).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л) инвентаризация сортиментов и определение дебаланса по складу со списанием недостач и оприходованием излишков сортимента на складе.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47. При учете сортиментов, поступивших на объекты лесоперерабатывающей инфраструктуры для переработки, проводятся следующие операции рабочего учета сортиментов или контрольного учета на объектах лесоперерабатывающей инфраструктуры: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а) учет поступающих на объекты лесоперерабатывающей инфраструктуры транспортных партий сортиментов, принятие решения об их приемке, отбор штабеля в случайную выборку для контрольного учета, а также фиксация (регистрация) места разгрузки;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б) контрольный поштучный учет штабеля (пучка при сплаве) из принятой транспортной </w:t>
      </w:r>
      <w:r>
        <w:lastRenderedPageBreak/>
        <w:t xml:space="preserve">партии сортимента при их попадании в случайную выборку. </w:t>
      </w:r>
      <w:proofErr w:type="gramStart"/>
      <w:r>
        <w:t>Объем случайной выборки должен быть не менее 1 процента общего количества штабелей сортимента, принятых за учетный период;</w:t>
      </w:r>
      <w:proofErr w:type="gramEnd"/>
    </w:p>
    <w:p w:rsidR="00C7081D" w:rsidRDefault="00C7081D">
      <w:pPr>
        <w:pStyle w:val="ConsPlusNormal"/>
        <w:spacing w:before="200"/>
        <w:ind w:firstLine="540"/>
        <w:jc w:val="both"/>
      </w:pPr>
      <w:r>
        <w:t>в) учет сортиментов транспортной партии или ее части (штабеля), не признанных годными при приемке (рекламационный штабель или партия сортиментов);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г) учет результатов пересортировки и доработки сортиментов на объекте лесоперерабатывающей инфраструктуры - приход или расход сортимента в результате выполнения этих операций;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д) учет расхода сортимента на собственные нужды;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е) учет технологических потерь сортимента;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ж) учет партий сортимента при отгрузке с объекта лесоперерабатывающей инфраструктуры;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з) корректировка результатов учета объема отгруженных с объекта лесоперерабатывающей инфраструктуры транспортных партий сортиментов по результатам их учета при приемке на складах назначения (при необходимости);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и) учет остатков сортимента на объекте лесоперерабатывающей инфраструктуры на конец отчетного периода;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к) корректировка результатов первого учета партии сортиментов рабочим методом по результатам контрольного учета, если погрешность измерения объема древесины оказалась выше погрешности, предусмотренной </w:t>
      </w:r>
      <w:hyperlink w:anchor="P267">
        <w:r>
          <w:rPr>
            <w:color w:val="0000FF"/>
          </w:rPr>
          <w:t>приложением N 1</w:t>
        </w:r>
      </w:hyperlink>
      <w:r>
        <w:t xml:space="preserve"> к настоящим Правилам (при необходимости);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л) учет объемов древесины, поступившей в переработку, и после переработки;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м) инвентаризация сортиментов и определение дебаланса по объекту лесоперерабатывающей инфраструктуры со списанием недостач и оприходованием излишков сортимента на складе.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48. Повторный учет сортиментов проводится при приемке перевезенной партии сортиментов (первый рабочий учет производится при отгрузке партии). Повторный учет проводится с использованием норм воспроизводимости результатов измерения объема при повторном учете.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49. Воспроизводимость результатов измерения объема сортимента В</w:t>
      </w:r>
      <w:proofErr w:type="gramStart"/>
      <w:r>
        <w:rPr>
          <w:vertAlign w:val="subscript"/>
        </w:rPr>
        <w:t>V</w:t>
      </w:r>
      <w:proofErr w:type="gramEnd"/>
      <w:r>
        <w:t xml:space="preserve"> определяется по формуле:</w:t>
      </w: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jc w:val="center"/>
      </w:pPr>
      <w:r>
        <w:rPr>
          <w:noProof/>
          <w:position w:val="-23"/>
        </w:rPr>
        <w:drawing>
          <wp:inline distT="0" distB="0" distL="0" distR="0">
            <wp:extent cx="1114425" cy="4286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ind w:firstLine="540"/>
        <w:jc w:val="both"/>
      </w:pPr>
      <w:r>
        <w:t>где: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V</w:t>
      </w:r>
      <w:r>
        <w:rPr>
          <w:vertAlign w:val="subscript"/>
        </w:rPr>
        <w:t>1</w:t>
      </w:r>
      <w:r>
        <w:t xml:space="preserve"> - объем партии сортимента при первом учете рабочим методом (например, при отгрузке);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V</w:t>
      </w:r>
      <w:r>
        <w:rPr>
          <w:vertAlign w:val="subscript"/>
        </w:rPr>
        <w:t>2</w:t>
      </w:r>
      <w:r>
        <w:t xml:space="preserve"> - объем партии сортимента при повторном учете этой же партии рабочим методом (например, при приемке на складе назначения).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50. Воспроизводимость результатов измерения объема партии сортимента при повторном учете рабочими методами должна соответствовать нормам согласно </w:t>
      </w:r>
      <w:hyperlink w:anchor="P314">
        <w:r>
          <w:rPr>
            <w:color w:val="0000FF"/>
          </w:rPr>
          <w:t>приложению N 2</w:t>
        </w:r>
      </w:hyperlink>
      <w:r>
        <w:t>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51. </w:t>
      </w:r>
      <w:proofErr w:type="gramStart"/>
      <w:r>
        <w:t>В случае если воспроизводимость результатов измерения объема партии сортимента при перевозках между складами одной организации, поставках на склады покупателей сортимента или поставке на экспорт или в других случаях не соответствует установленным нормам воспроизводимости результатов измерений объема партии сортимента при повторном учете рабочими методами, то производится анализ причин такого несоответствия, оценка и регулирование погрешности измерения объема при отгрузке и при приемке</w:t>
      </w:r>
      <w:proofErr w:type="gramEnd"/>
      <w:r>
        <w:t xml:space="preserve"> по результатам контрольного учета.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52. При выявлении несоответствия нормам воспроизводимости при приемке по результатам учета на складе назначения результаты учета партии сортимента при отгрузке подлежат корректировке по результатам учета на складе назначения.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lastRenderedPageBreak/>
        <w:t>53. Покупатель (получатель) сортимента предоставляет продавцу (поставщику) результаты контрольного учета для своевременного устранения причин погрешности и соблюдения нормы воспроизводимости результатов измерения по объему (при необходимости).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54. Если воспроизводимость результатов измерений объема не превышает норм, предусмотренных </w:t>
      </w:r>
      <w:hyperlink w:anchor="P314">
        <w:r>
          <w:rPr>
            <w:color w:val="0000FF"/>
          </w:rPr>
          <w:t>приложением N 2</w:t>
        </w:r>
      </w:hyperlink>
      <w:r>
        <w:t xml:space="preserve"> к настоящим Правилам, считается, что обязательные требования выполнены.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55. Расхождение данных учета сортиментов, выполненного рабочим методом на определенный момент, с данными учета сортиментов по совокупности документов на тот же момент (далее - дебаланс) оценивается посредством измерения всего объема прихода и расхода сортиментов с учетом измерения остатков сортиментов.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56. Оборот сортимента (</w:t>
      </w:r>
      <w:proofErr w:type="gramStart"/>
      <w:r>
        <w:t>V</w:t>
      </w:r>
      <w:proofErr w:type="gramEnd"/>
      <w:r>
        <w:rPr>
          <w:vertAlign w:val="subscript"/>
        </w:rPr>
        <w:t>Об</w:t>
      </w:r>
      <w:r>
        <w:t>) определяется (в кубических метрах) по формуле:</w:t>
      </w: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jc w:val="center"/>
      </w:pPr>
      <w:proofErr w:type="gramStart"/>
      <w:r>
        <w:t>V</w:t>
      </w:r>
      <w:proofErr w:type="gramEnd"/>
      <w:r>
        <w:rPr>
          <w:vertAlign w:val="subscript"/>
        </w:rPr>
        <w:t>об</w:t>
      </w:r>
      <w:r>
        <w:t xml:space="preserve"> = V</w:t>
      </w:r>
      <w:r>
        <w:rPr>
          <w:vertAlign w:val="subscript"/>
        </w:rPr>
        <w:t>Н</w:t>
      </w:r>
      <w:r>
        <w:t xml:space="preserve"> + V</w:t>
      </w:r>
      <w:r>
        <w:rPr>
          <w:vertAlign w:val="subscript"/>
        </w:rPr>
        <w:t>ПРО</w:t>
      </w:r>
      <w:r>
        <w:t xml:space="preserve"> = V</w:t>
      </w:r>
      <w:r>
        <w:rPr>
          <w:vertAlign w:val="subscript"/>
        </w:rPr>
        <w:t>РО</w:t>
      </w:r>
      <w:r>
        <w:t xml:space="preserve"> + V</w:t>
      </w:r>
      <w:r>
        <w:rPr>
          <w:vertAlign w:val="subscript"/>
        </w:rPr>
        <w:t>К</w:t>
      </w:r>
      <w:r>
        <w:t>,</w:t>
      </w: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ind w:firstLine="540"/>
        <w:jc w:val="both"/>
      </w:pPr>
      <w:r>
        <w:t>где:</w:t>
      </w:r>
    </w:p>
    <w:p w:rsidR="00C7081D" w:rsidRDefault="00C7081D">
      <w:pPr>
        <w:pStyle w:val="ConsPlusNormal"/>
        <w:spacing w:before="200"/>
        <w:ind w:firstLine="540"/>
        <w:jc w:val="both"/>
      </w:pPr>
      <w:proofErr w:type="gramStart"/>
      <w:r>
        <w:t>V</w:t>
      </w:r>
      <w:proofErr w:type="gramEnd"/>
      <w:r>
        <w:rPr>
          <w:vertAlign w:val="subscript"/>
        </w:rPr>
        <w:t>Н</w:t>
      </w:r>
      <w:r>
        <w:t xml:space="preserve"> - остаток сортимента на начало отчетного периода;</w:t>
      </w:r>
    </w:p>
    <w:p w:rsidR="00C7081D" w:rsidRDefault="00C7081D">
      <w:pPr>
        <w:pStyle w:val="ConsPlusNormal"/>
        <w:spacing w:before="200"/>
        <w:ind w:firstLine="540"/>
        <w:jc w:val="both"/>
      </w:pPr>
      <w:proofErr w:type="gramStart"/>
      <w:r>
        <w:t>V</w:t>
      </w:r>
      <w:proofErr w:type="gramEnd"/>
      <w:r>
        <w:rPr>
          <w:vertAlign w:val="subscript"/>
        </w:rPr>
        <w:t>ПРО</w:t>
      </w:r>
      <w:r>
        <w:t xml:space="preserve"> - общий приход (приемка) сортимента в течение отчетного периода;</w:t>
      </w:r>
    </w:p>
    <w:p w:rsidR="00C7081D" w:rsidRDefault="00C7081D">
      <w:pPr>
        <w:pStyle w:val="ConsPlusNormal"/>
        <w:spacing w:before="200"/>
        <w:ind w:firstLine="540"/>
        <w:jc w:val="both"/>
      </w:pPr>
      <w:proofErr w:type="gramStart"/>
      <w:r>
        <w:t>V</w:t>
      </w:r>
      <w:proofErr w:type="gramEnd"/>
      <w:r>
        <w:rPr>
          <w:vertAlign w:val="subscript"/>
        </w:rPr>
        <w:t>РО</w:t>
      </w:r>
      <w:r>
        <w:t xml:space="preserve"> - общий расход (отгрузка, внутреннее потребление, потери) сортимента в течение отчетного периода;</w:t>
      </w:r>
    </w:p>
    <w:p w:rsidR="00C7081D" w:rsidRDefault="00C7081D">
      <w:pPr>
        <w:pStyle w:val="ConsPlusNormal"/>
        <w:spacing w:before="200"/>
        <w:ind w:firstLine="540"/>
        <w:jc w:val="both"/>
      </w:pPr>
      <w:proofErr w:type="gramStart"/>
      <w:r>
        <w:t>V</w:t>
      </w:r>
      <w:proofErr w:type="gramEnd"/>
      <w:r>
        <w:rPr>
          <w:vertAlign w:val="subscript"/>
        </w:rPr>
        <w:t>К</w:t>
      </w:r>
      <w:r>
        <w:t xml:space="preserve"> - остаток сортимента на конец отчетного периода.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57. Дебаланс объемов сортимента (</w:t>
      </w:r>
      <w:proofErr w:type="gramStart"/>
      <w:r>
        <w:t>D</w:t>
      </w:r>
      <w:proofErr w:type="gramEnd"/>
      <w:r>
        <w:rPr>
          <w:vertAlign w:val="subscript"/>
        </w:rPr>
        <w:t>С</w:t>
      </w:r>
      <w:r>
        <w:t>) определяется (в кубических метрах) по формуле:</w:t>
      </w: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jc w:val="center"/>
      </w:pPr>
      <w:proofErr w:type="gramStart"/>
      <w:r>
        <w:t>D</w:t>
      </w:r>
      <w:proofErr w:type="gramEnd"/>
      <w:r>
        <w:rPr>
          <w:vertAlign w:val="subscript"/>
        </w:rPr>
        <w:t>С</w:t>
      </w:r>
      <w:r>
        <w:t xml:space="preserve"> = (V</w:t>
      </w:r>
      <w:r>
        <w:rPr>
          <w:vertAlign w:val="subscript"/>
        </w:rPr>
        <w:t>Н</w:t>
      </w:r>
      <w:r>
        <w:t xml:space="preserve"> + V</w:t>
      </w:r>
      <w:r>
        <w:rPr>
          <w:vertAlign w:val="subscript"/>
        </w:rPr>
        <w:t>ПРО</w:t>
      </w:r>
      <w:r>
        <w:t>) - (V</w:t>
      </w:r>
      <w:r>
        <w:rPr>
          <w:vertAlign w:val="subscript"/>
        </w:rPr>
        <w:t>РО</w:t>
      </w:r>
      <w:r>
        <w:t xml:space="preserve"> + V</w:t>
      </w:r>
      <w:r>
        <w:rPr>
          <w:vertAlign w:val="subscript"/>
        </w:rPr>
        <w:t>К</w:t>
      </w:r>
      <w:r>
        <w:t>).</w:t>
      </w: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ind w:firstLine="540"/>
        <w:jc w:val="both"/>
      </w:pPr>
      <w:r>
        <w:t>58. Нормирование дебаланса сортимента (D</w:t>
      </w:r>
      <w:proofErr w:type="gramStart"/>
      <w:r>
        <w:rPr>
          <w:vertAlign w:val="subscript"/>
        </w:rPr>
        <w:t>С(</w:t>
      </w:r>
      <w:proofErr w:type="gramEnd"/>
      <w:r>
        <w:rPr>
          <w:vertAlign w:val="subscript"/>
        </w:rPr>
        <w:t>норм)</w:t>
      </w:r>
      <w:r>
        <w:t>) определяется по формуле:</w:t>
      </w: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jc w:val="center"/>
      </w:pPr>
      <w:r>
        <w:rPr>
          <w:noProof/>
          <w:position w:val="-23"/>
        </w:rPr>
        <w:drawing>
          <wp:inline distT="0" distB="0" distL="0" distR="0">
            <wp:extent cx="1895475" cy="428625"/>
            <wp:effectExtent l="0" t="0" r="0" b="0"/>
            <wp:docPr id="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ind w:firstLine="540"/>
        <w:jc w:val="both"/>
      </w:pPr>
      <w:r>
        <w:t xml:space="preserve">59. Установленный при учете сортиментов дебаланс объема каждого сортимента за отчетный период не должен превышать норм согласно </w:t>
      </w:r>
      <w:hyperlink w:anchor="P341">
        <w:r>
          <w:rPr>
            <w:color w:val="0000FF"/>
          </w:rPr>
          <w:t>приложению N 3</w:t>
        </w:r>
      </w:hyperlink>
      <w:r>
        <w:t>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60. Дебаланс сортимента на лесосеке корректируется изменением объема заготовки сортимента по окончании вывозки древесины с лесосеки. Дебаланс сортимента в местах (пунктах) складирования или на объекте лесоперерабатывающей инфраструктуры отражается в документе о списании недостачи и оприходовании излишков сортимента, в котором для каждого из сортиментов указываются выявленные и подлежащие: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а) списанию недостачи в пределах установленных норм дебаланса;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б) списанию недостачи сверх установленных норм дебаланса;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в) оприходованию излишки сортимента в пределах норм дебаланса;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г) оприходованию излишки сверх установленных норм дебаланса.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61. Лица, осуществляющие заготовку древесины, а также владеющие на праве собственности или ином законном основании местами (пунктами) складирования древесины, объектами лесоперерабатывающей инфраструктуры, осуществляют инвентаризацию древесины в месте складирования или на объекте лесоперерабатывающей инфраструктуры.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Под инвентаризацией древесины в настоящих Правилах понимается производственный учет рабочими методами всех штабелей и партий древесины, хранящихся на лесосеке, в месте складирования или на объекте лесоперерабатывающей инфраструктуры на момент проведения инвентаризации древесины.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lastRenderedPageBreak/>
        <w:t>62. При инвентаризации древесины определяются объемы фактических остатков сортиментов, которые используются для определения дебаланса древесины. Инвентаризация древесины на лесосеке проводится по окончании вывозки древесины с лесосеки. Инвентаризация древесины на складе или объекте лесоперерабатывающей инфраструктуры проводится в соответствии с требованиями, установленными законодательством Российской Федерации о бухгалтерском учете, но не реже одного раза в год. По результатам инвентаризации древесины составляется документ о списании недостач и оприходовании излишков сортиментов на лесосеке или в месте складирования.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63. В </w:t>
      </w:r>
      <w:proofErr w:type="gramStart"/>
      <w:r>
        <w:t>случае</w:t>
      </w:r>
      <w:proofErr w:type="gramEnd"/>
      <w:r>
        <w:t xml:space="preserve"> если дебаланс не соответствует установленным нормам дебаланса объемов сортимента при инвентаризации древесины рабочими методами, производится анализ причин такого несоответствия, оценка и регулирование погрешности измерения объема при отгрузке и при приемке по результатам контрольного учета.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64. Если значение дебаланса не превышает установленных норм дебаланса объемов сортимента, предусмотренных </w:t>
      </w:r>
      <w:hyperlink w:anchor="P341">
        <w:r>
          <w:rPr>
            <w:color w:val="0000FF"/>
          </w:rPr>
          <w:t>приложением N 3</w:t>
        </w:r>
      </w:hyperlink>
      <w:r>
        <w:t xml:space="preserve"> к настоящим Правилам, считается, что обязательные требования выполнены.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65. Технологическими потерями древесины признаются потери при производстве и (или) транспортировке товаров (работ, услуг), обусловленные технологическими особенностями производственного цикла и (или) процесса транспортировки, а также физико-химическими характеристиками применяемого сырья в соответствии с </w:t>
      </w:r>
      <w:hyperlink r:id="rId57">
        <w:r>
          <w:rPr>
            <w:color w:val="0000FF"/>
          </w:rPr>
          <w:t>подпунктом 3 пункта 7 статьи 254</w:t>
        </w:r>
      </w:hyperlink>
      <w:r>
        <w:t xml:space="preserve"> Налогового кодекса Российской Федерации.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66. Учет технологических потерь древесины проводится с использованием следующей классификации: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а) некондиционная древесина - стволы или части стволов сваленных деревьев, не подлежащие переработке или вывозке с лесосеки;</w:t>
      </w:r>
    </w:p>
    <w:p w:rsidR="00C7081D" w:rsidRDefault="00C7081D">
      <w:pPr>
        <w:pStyle w:val="ConsPlusNormal"/>
        <w:spacing w:before="200"/>
        <w:ind w:firstLine="540"/>
        <w:jc w:val="both"/>
      </w:pPr>
      <w:proofErr w:type="gramStart"/>
      <w:r>
        <w:t>б) опилки при поперечной распиловке;</w:t>
      </w:r>
      <w:proofErr w:type="gramEnd"/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в) лом, бой древесины - </w:t>
      </w:r>
      <w:proofErr w:type="gramStart"/>
      <w:r>
        <w:t>остатки хлыстов</w:t>
      </w:r>
      <w:proofErr w:type="gramEnd"/>
      <w:r>
        <w:t>, сортиментов, образовавшихся из-за механических повреждений при трелевке или при погрузочно-разгрузочных операциях;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г) припуски по длине у мерных сортиментов - участки длины бревен, не учитываемые из-за того, что номинальная длина в сумме с припуском по длине сортимента меньше средней длины бревен в партии;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д) снижение качества сортиментов при хранении - уменьшение при хранении объема бревен, соответствующих требованиям к ценным сортиментам, и одновременное увеличение объема сортиментов (балансы, дрова), для которых установлены более низкие требования или отсутствуют требования к дефектам, возникающим при хранении (грибные окраски, гниль, трещины или червоточины);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е) потери сортиментов при транспортировании сплавом в плотах.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67. В зависимости от производственных условий учет технологических потерь проводится путем: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а) прямых измерений объема технологических потерь при заготовке сортиментов или при других операциях методами рабочего учета сортиментов, если измерение технологических потерь предусмотрено применяемым методом;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б) вычисления объема технологических потерь сортимента на определенной операции умножением нормы технологических потерь, установленной для этой операции, на объем сортимента, для которого проведена эта операция;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в) установления и документарной фиксации объема потерь из-за случайных событий (аварии, природные условия и др.) с указанием причин;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г) суммирование объемов технологических потерь по операциям.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 xml:space="preserve">68. Технологические потери сортиментов учитываются юридическими лицами или индивидуальными предпринимателями, являющимися собственниками объектов </w:t>
      </w:r>
      <w:r>
        <w:lastRenderedPageBreak/>
        <w:t>лесоперерабатывающей инфраструктуры, в технологических картах, сметах технологических процессов или иных аналогичных документах не реже одного раза в 5 лет. При изменении факторов, оказывающих влияние на объем технологических потерь, проводится внеплановая разработка норм технологических потерь.</w:t>
      </w:r>
    </w:p>
    <w:p w:rsidR="00C7081D" w:rsidRDefault="00C7081D">
      <w:pPr>
        <w:pStyle w:val="ConsPlusNormal"/>
        <w:spacing w:before="200"/>
        <w:ind w:firstLine="540"/>
        <w:jc w:val="both"/>
      </w:pPr>
      <w:bookmarkStart w:id="18" w:name="P255"/>
      <w:bookmarkEnd w:id="18"/>
      <w:r>
        <w:t>69. Партия сортимента считается соответствующей требованиям спецификации сортимента по качеству в следующих случаях: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а) объем сортиментов, имеющих значительные дефекты (исключающие их отнесение к поименованным сортиментам), в партии сортимента составляет не более 10 процентов общего объема партии;</w:t>
      </w:r>
    </w:p>
    <w:p w:rsidR="00C7081D" w:rsidRDefault="00C7081D">
      <w:pPr>
        <w:pStyle w:val="ConsPlusNormal"/>
        <w:spacing w:before="200"/>
        <w:ind w:firstLine="540"/>
        <w:jc w:val="both"/>
      </w:pPr>
      <w:r>
        <w:t>б) объем сортиментов, имеющих характеристики, позволяющие отнести их к сортиментам с высокой коммерческой ценностью, в партии сортимента составляет не более 12 процентов общего объема партии.</w:t>
      </w: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jc w:val="right"/>
        <w:outlineLvl w:val="1"/>
      </w:pPr>
      <w:r>
        <w:t>Приложение N 1</w:t>
      </w:r>
    </w:p>
    <w:p w:rsidR="00C7081D" w:rsidRDefault="00C7081D">
      <w:pPr>
        <w:pStyle w:val="ConsPlusNormal"/>
        <w:jc w:val="right"/>
      </w:pPr>
      <w:r>
        <w:t>к Правилам определения характеристик</w:t>
      </w:r>
    </w:p>
    <w:p w:rsidR="00C7081D" w:rsidRDefault="00C7081D">
      <w:pPr>
        <w:pStyle w:val="ConsPlusNormal"/>
        <w:jc w:val="right"/>
      </w:pPr>
      <w:r>
        <w:t>древесины и учета древесины</w:t>
      </w: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Title"/>
        <w:jc w:val="center"/>
      </w:pPr>
      <w:bookmarkStart w:id="19" w:name="P267"/>
      <w:bookmarkEnd w:id="19"/>
      <w:r>
        <w:t>ДОПУСКАЕМЫЕ ПОГРЕШНОСТИ ИЗМЕРЕНИЯ ОБЪЕМА ПАРТИИ СОРТИМЕНТА</w:t>
      </w:r>
    </w:p>
    <w:p w:rsidR="00C7081D" w:rsidRDefault="00C7081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479"/>
      </w:tblGrid>
      <w:tr w:rsidR="00C7081D">
        <w:tc>
          <w:tcPr>
            <w:tcW w:w="45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7081D" w:rsidRDefault="00C7081D">
            <w:pPr>
              <w:pStyle w:val="ConsPlusNormal"/>
              <w:jc w:val="center"/>
            </w:pPr>
            <w:r>
              <w:t>Объем партии сортимента, куб. м</w:t>
            </w:r>
          </w:p>
        </w:tc>
        <w:tc>
          <w:tcPr>
            <w:tcW w:w="447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Допускаемая погрешность измерения, процентов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1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  <w:outlineLvl w:val="2"/>
            </w:pPr>
            <w:r>
              <w:t>Измерение партии сортимента групповыми рабочими методами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от 15 до 29,99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15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от 30 до 59,99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12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от 60 до 119,99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8,8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от 120 до 199,99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6,5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от 200 до 299,99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4,8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от 300 до 449,99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4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от 450 до 599,99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3,4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от 600 и более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3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  <w:outlineLvl w:val="2"/>
            </w:pPr>
            <w:r>
              <w:t>Измерение партии сортимента поштучными рабочими методами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от 10 до 14,99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12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от 15 до 29,99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8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от 30 до 59,99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6,6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60 до 119,99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5,2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от 120 до 199,99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4,2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от 200 до 299,99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3,5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от 300 до 399,99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3,1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lastRenderedPageBreak/>
              <w:t>от 400 и более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1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3</w:t>
            </w:r>
          </w:p>
        </w:tc>
      </w:tr>
    </w:tbl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jc w:val="right"/>
        <w:outlineLvl w:val="1"/>
      </w:pPr>
      <w:r>
        <w:t>Приложение N 2</w:t>
      </w:r>
    </w:p>
    <w:p w:rsidR="00C7081D" w:rsidRDefault="00C7081D">
      <w:pPr>
        <w:pStyle w:val="ConsPlusNormal"/>
        <w:jc w:val="right"/>
      </w:pPr>
      <w:r>
        <w:t>к Правилам определения характеристик</w:t>
      </w:r>
    </w:p>
    <w:p w:rsidR="00C7081D" w:rsidRDefault="00C7081D">
      <w:pPr>
        <w:pStyle w:val="ConsPlusNormal"/>
        <w:jc w:val="right"/>
      </w:pPr>
      <w:r>
        <w:t>древесины и учета древесины</w:t>
      </w: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Title"/>
        <w:jc w:val="center"/>
      </w:pPr>
      <w:bookmarkStart w:id="20" w:name="P314"/>
      <w:bookmarkEnd w:id="20"/>
      <w:r>
        <w:t>НОРМЫ</w:t>
      </w:r>
    </w:p>
    <w:p w:rsidR="00C7081D" w:rsidRDefault="00C7081D">
      <w:pPr>
        <w:pStyle w:val="ConsPlusTitle"/>
        <w:jc w:val="center"/>
      </w:pPr>
      <w:r>
        <w:t>ВОСПРОИЗВОДИМОСТИ РЕЗУЛЬТАТОВ ИЗМЕРЕНИЙ ОБЪЕМА ПАРТИИ</w:t>
      </w:r>
    </w:p>
    <w:p w:rsidR="00C7081D" w:rsidRDefault="00C7081D">
      <w:pPr>
        <w:pStyle w:val="ConsPlusTitle"/>
        <w:jc w:val="center"/>
      </w:pPr>
      <w:r>
        <w:t>СОРТИМЕНТА ПРИ ПОВТОРНОМ УЧЕТЕ РАБОЧИМИ МЕТОДАМИ</w:t>
      </w:r>
    </w:p>
    <w:p w:rsidR="00C7081D" w:rsidRDefault="00C7081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479"/>
      </w:tblGrid>
      <w:tr w:rsidR="00C7081D">
        <w:tc>
          <w:tcPr>
            <w:tcW w:w="45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7081D" w:rsidRDefault="00C7081D">
            <w:pPr>
              <w:pStyle w:val="ConsPlusNormal"/>
              <w:jc w:val="center"/>
            </w:pPr>
            <w:r>
              <w:t>Объем партии сортимента, куб. м</w:t>
            </w:r>
          </w:p>
        </w:tc>
        <w:tc>
          <w:tcPr>
            <w:tcW w:w="447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Норма воспроизводимости результатов измерения объема партии, процентов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1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  <w:outlineLvl w:val="2"/>
            </w:pPr>
            <w:r>
              <w:t>При проведении первого и повторного измерения поштучными рабочими методами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до 9,99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8 процентов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10 и более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5 процентов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  <w:outlineLvl w:val="2"/>
            </w:pPr>
            <w:r>
              <w:t>При проведении одного или обоих измерений групповыми рабочими методами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до 69,99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15 процентов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от 70 до 399,99 куб. м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8 процентов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400 куб. м и более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5 процентов</w:t>
            </w:r>
          </w:p>
        </w:tc>
      </w:tr>
    </w:tbl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jc w:val="right"/>
        <w:outlineLvl w:val="1"/>
      </w:pPr>
      <w:r>
        <w:t>Приложение N 3</w:t>
      </w:r>
    </w:p>
    <w:p w:rsidR="00C7081D" w:rsidRDefault="00C7081D">
      <w:pPr>
        <w:pStyle w:val="ConsPlusNormal"/>
        <w:jc w:val="right"/>
      </w:pPr>
      <w:r>
        <w:t>к Правилам определения характеристик</w:t>
      </w:r>
    </w:p>
    <w:p w:rsidR="00C7081D" w:rsidRDefault="00C7081D">
      <w:pPr>
        <w:pStyle w:val="ConsPlusNormal"/>
        <w:jc w:val="right"/>
      </w:pPr>
      <w:r>
        <w:t>древесины и учета древесины</w:t>
      </w: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Title"/>
        <w:jc w:val="center"/>
      </w:pPr>
      <w:bookmarkStart w:id="21" w:name="P341"/>
      <w:bookmarkEnd w:id="21"/>
      <w:r>
        <w:t>НОРМЫ ДЕБАЛАНСА ОБЪЕМОВ СОРТИМЕНТОВ</w:t>
      </w:r>
    </w:p>
    <w:p w:rsidR="00C7081D" w:rsidRDefault="00C7081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27"/>
        <w:gridCol w:w="1247"/>
        <w:gridCol w:w="3912"/>
      </w:tblGrid>
      <w:tr w:rsidR="00C7081D">
        <w:tc>
          <w:tcPr>
            <w:tcW w:w="382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7081D" w:rsidRDefault="00C7081D">
            <w:pPr>
              <w:pStyle w:val="ConsPlusNormal"/>
              <w:jc w:val="center"/>
            </w:pPr>
            <w:r>
              <w:t>Сумма объемов сортимента, использованных при определении дебаланса, куб. м</w:t>
            </w:r>
          </w:p>
        </w:tc>
        <w:tc>
          <w:tcPr>
            <w:tcW w:w="5159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Норма дебаланса, процентов</w:t>
            </w:r>
          </w:p>
        </w:tc>
      </w:tr>
      <w:tr w:rsidR="00C7081D">
        <w:tc>
          <w:tcPr>
            <w:tcW w:w="3827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7081D" w:rsidRDefault="00C7081D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C7081D" w:rsidRDefault="00C7081D">
            <w:pPr>
              <w:pStyle w:val="ConsPlusNormal"/>
              <w:jc w:val="center"/>
            </w:pPr>
            <w:r>
              <w:t>лесосека</w:t>
            </w: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место (пункт) складирования сортиментов, объект лесоперерабатывающей инфраструктуры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8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До 399,99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2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11</w:t>
            </w:r>
          </w:p>
        </w:tc>
        <w:tc>
          <w:tcPr>
            <w:tcW w:w="39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9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400 - 799,99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2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9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2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7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800 - 1999,99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2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7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5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2000 - 3599,99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3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6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4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3600 - 9999,99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5,5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3,5</w:t>
            </w:r>
          </w:p>
        </w:tc>
      </w:tr>
      <w:tr w:rsidR="00C7081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t>10000 и более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5</w:t>
            </w:r>
          </w:p>
        </w:tc>
        <w:tc>
          <w:tcPr>
            <w:tcW w:w="39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081D" w:rsidRDefault="00C7081D">
            <w:pPr>
              <w:pStyle w:val="ConsPlusNormal"/>
              <w:jc w:val="center"/>
            </w:pPr>
            <w:r>
              <w:rPr>
                <w:noProof/>
                <w:position w:val="-2"/>
              </w:rPr>
              <w:drawing>
                <wp:inline distT="0" distB="0" distL="0" distR="0">
                  <wp:extent cx="142875" cy="152400"/>
                  <wp:effectExtent l="0" t="0" r="0" b="0"/>
                  <wp:docPr id="3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3</w:t>
            </w:r>
          </w:p>
        </w:tc>
      </w:tr>
    </w:tbl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jc w:val="both"/>
      </w:pPr>
    </w:p>
    <w:p w:rsidR="00C7081D" w:rsidRDefault="00C7081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66535" w:rsidRDefault="00F66535">
      <w:bookmarkStart w:id="22" w:name="_GoBack"/>
      <w:bookmarkEnd w:id="22"/>
    </w:p>
    <w:sectPr w:rsidR="00F66535" w:rsidSect="005116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1D"/>
    <w:rsid w:val="00251A75"/>
    <w:rsid w:val="00C7081D"/>
    <w:rsid w:val="00F6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081D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C7081D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C7081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70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08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081D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C7081D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C7081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70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08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C9A62DC641C09BDF07EB3B3F040A661489D2A0276DDB2F7C870BCBFDC72146D99442109122FCA6DFAC88212464218A1DDE58E78E556017EAC" TargetMode="External"/><Relationship Id="rId18" Type="http://schemas.openxmlformats.org/officeDocument/2006/relationships/hyperlink" Target="consultantplus://offline/ref=C9A62DC641C09BDF07EB242A010A66148BD3A2226FD372768F52C7FFC02E19DC9353109124E6A7D5E6DB657316EBC" TargetMode="External"/><Relationship Id="rId26" Type="http://schemas.openxmlformats.org/officeDocument/2006/relationships/hyperlink" Target="consultantplus://offline/ref=C9A62DC641C09BDF07EB3B3F040A661489D2A0276DDB2F7C870BCBFDC72146D99442109123F9A7D4F1D231202D758002D847F88D4B60789F1CE8C" TargetMode="External"/><Relationship Id="rId39" Type="http://schemas.openxmlformats.org/officeDocument/2006/relationships/hyperlink" Target="consultantplus://offline/ref=C9A62DC641C09BDF07EB3B3F040A661489D2A0276DDB2F7C870BCBFDC72146D99442109122FCA5DFAC88212464218A1DDE58E78E556017EAC" TargetMode="External"/><Relationship Id="rId21" Type="http://schemas.openxmlformats.org/officeDocument/2006/relationships/hyperlink" Target="consultantplus://offline/ref=C9A62DC641C09BDF07EB242A010A661483DEAD2F678E787ED65EC5F8CF711CC9820B1C973DF9A7CAFAD96717E3C" TargetMode="External"/><Relationship Id="rId34" Type="http://schemas.openxmlformats.org/officeDocument/2006/relationships/hyperlink" Target="consultantplus://offline/ref=C9A62DC641C09BDF07EB3B3F040A661489D2A0276DDB2F7C870BCBFDC72146D99442109123F9A7D4F1D231202D758002D847F88D4B60789F1CE8C" TargetMode="External"/><Relationship Id="rId42" Type="http://schemas.openxmlformats.org/officeDocument/2006/relationships/hyperlink" Target="consultantplus://offline/ref=C9A62DC641C09BDF07EB242A010A66148BD3A2226FD372768F52C7FFC02E19CE930B1C9020FFA1D7F38D34353C2D8C04C158F89257627A19EFC" TargetMode="External"/><Relationship Id="rId47" Type="http://schemas.openxmlformats.org/officeDocument/2006/relationships/hyperlink" Target="consultantplus://offline/ref=C9A62DC641C09BDF07EB242A010A661488DBA32E6BD372768F52C7FFC02E19CE930B1C9023FAA2D1F38D34353C2D8C04C158F89257627A19EFC" TargetMode="External"/><Relationship Id="rId50" Type="http://schemas.openxmlformats.org/officeDocument/2006/relationships/hyperlink" Target="consultantplus://offline/ref=C9A62DC641C09BDF07EB242A010A661488DAA12568D372768F52C7FFC02E19CE930B1C9023F8A2D2F38D34353C2D8C04C158F89257627A19EFC" TargetMode="External"/><Relationship Id="rId55" Type="http://schemas.openxmlformats.org/officeDocument/2006/relationships/image" Target="media/image1.wmf"/><Relationship Id="rId7" Type="http://schemas.openxmlformats.org/officeDocument/2006/relationships/hyperlink" Target="consultantplus://offline/ref=C9A62DC641C09BDF07EB3B3F040A661489DDAC2164DC2F7C870BCBFDC72146D98642489D22FFB8D5F9C767716B12E2C" TargetMode="External"/><Relationship Id="rId12" Type="http://schemas.openxmlformats.org/officeDocument/2006/relationships/hyperlink" Target="consultantplus://offline/ref=C9A62DC641C09BDF07EB3B3F040A661489D2A0276DDB2F7C870BCBFDC72146D99442109122FCA1DFAC88212464218A1DDE58E78E556017EAC" TargetMode="External"/><Relationship Id="rId17" Type="http://schemas.openxmlformats.org/officeDocument/2006/relationships/hyperlink" Target="consultantplus://offline/ref=C9A62DC641C09BDF07EB242A010A661488DAA12568D372768F52C7FFC02E19DC9353109124E6A7D5E6DB657316EBC" TargetMode="External"/><Relationship Id="rId25" Type="http://schemas.openxmlformats.org/officeDocument/2006/relationships/hyperlink" Target="consultantplus://offline/ref=C9A62DC641C09BDF07EB382A1D0A661482DEAC25678E787ED65EC5F8CF711CC9820B1C973DF9A7CAFAD96717E3C" TargetMode="External"/><Relationship Id="rId33" Type="http://schemas.openxmlformats.org/officeDocument/2006/relationships/hyperlink" Target="consultantplus://offline/ref=C9A62DC641C09BDF07EB3B3F040A66148ED9AD2F6DDB2F7C870BCBFDC72146D98642489D22FFB8D5F9C767716B12E2C" TargetMode="External"/><Relationship Id="rId38" Type="http://schemas.openxmlformats.org/officeDocument/2006/relationships/hyperlink" Target="consultantplus://offline/ref=C9A62DC641C09BDF07EB3B3F040A661489D2A0276DDB2F7C870BCBFDC72146D98642489D22FFB8D5F9C767716B12E2C" TargetMode="External"/><Relationship Id="rId46" Type="http://schemas.openxmlformats.org/officeDocument/2006/relationships/hyperlink" Target="consultantplus://offline/ref=C9A62DC641C09BDF07EB242A010A661488DBA32E6BD372768F52C7FFC02E19CE930B1C9023FAA5D2F38D34353C2D8C04C158F89257627A19EFC" TargetMode="External"/><Relationship Id="rId59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C9A62DC641C09BDF07EB242A010A661488DBA32E6BD372768F52C7FFC02E19DC9353109124E6A7D5E6DB657316EBC" TargetMode="External"/><Relationship Id="rId20" Type="http://schemas.openxmlformats.org/officeDocument/2006/relationships/hyperlink" Target="consultantplus://offline/ref=C9A62DC641C09BDF07EB242A010A66148DDEA020678E787ED65EC5F8CF711CC9820B1C973DF9A7CAFAD96717E3C" TargetMode="External"/><Relationship Id="rId29" Type="http://schemas.openxmlformats.org/officeDocument/2006/relationships/hyperlink" Target="consultantplus://offline/ref=C9A62DC641C09BDF07EB3B3F040A66148ED9AD2F6DDB2F7C870BCBFDC72146D98642489D22FFB8D5F9C767716B12E2C" TargetMode="External"/><Relationship Id="rId41" Type="http://schemas.openxmlformats.org/officeDocument/2006/relationships/hyperlink" Target="consultantplus://offline/ref=C9A62DC641C09BDF07EB242A010A66148BD3A2226FD372768F52C7FFC02E19CE930B1C9023F8A2D5F38D34353C2D8C04C158F89257627A19EFC" TargetMode="External"/><Relationship Id="rId54" Type="http://schemas.openxmlformats.org/officeDocument/2006/relationships/hyperlink" Target="consultantplus://offline/ref=C9A62DC641C09BDF07EB3B3F040A66148ED9AD2F6DDB2F7C870BCBFDC72146D98642489D22FFB8D5F9C767716B12E2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9A62DC641C09BDF07EB3B3F040A661489D2A0276DDB2F7C870BCBFDC72146D99442109122FCAEDFAC88212464218A1DDE58E78E556017EAC" TargetMode="External"/><Relationship Id="rId11" Type="http://schemas.openxmlformats.org/officeDocument/2006/relationships/hyperlink" Target="consultantplus://offline/ref=C9A62DC641C09BDF07EB3B3F040A66148ED9AC266DD82F7C870BCBFDC72146D99442109121F0A0D7F0D231202D758002D847F88D4B60789F1CE8C" TargetMode="External"/><Relationship Id="rId24" Type="http://schemas.openxmlformats.org/officeDocument/2006/relationships/hyperlink" Target="consultantplus://offline/ref=C9A62DC641C09BDF07EB242A010A66148BDEAD2368D372768F52C7FFC02E19DC9353109124E6A7D5E6DB657316EBC" TargetMode="External"/><Relationship Id="rId32" Type="http://schemas.openxmlformats.org/officeDocument/2006/relationships/hyperlink" Target="consultantplus://offline/ref=C9A62DC641C09BDF07EB3B3F040A66148ED9AC266DD82F7C870BCBFDC72146D99442109123F8A7D2FAD231202D758002D847F88D4B60789F1CE8C" TargetMode="External"/><Relationship Id="rId37" Type="http://schemas.openxmlformats.org/officeDocument/2006/relationships/hyperlink" Target="consultantplus://offline/ref=C9A62DC641C09BDF07EB3B3F040A661489D2A0276DDB2F7C870BCBFDC72146D99442109122FCA4DFAC88212464218A1DDE58E78E556017EAC" TargetMode="External"/><Relationship Id="rId40" Type="http://schemas.openxmlformats.org/officeDocument/2006/relationships/hyperlink" Target="consultantplus://offline/ref=C9A62DC641C09BDF07EB3B3F040A66148ED9AD2F6DDB2F7C870BCBFDC72146D98642489D22FFB8D5F9C767716B12E2C" TargetMode="External"/><Relationship Id="rId45" Type="http://schemas.openxmlformats.org/officeDocument/2006/relationships/hyperlink" Target="consultantplus://offline/ref=C9A62DC641C09BDF07EB242A010A661488DBA32E6BD372768F52C7FFC02E19CE930B1C9023F8A2D5F38D34353C2D8C04C158F89257627A19EFC" TargetMode="External"/><Relationship Id="rId53" Type="http://schemas.openxmlformats.org/officeDocument/2006/relationships/hyperlink" Target="consultantplus://offline/ref=C9A62DC641C09BDF07EB242A010A661488DAA12568D372768F52C7FFC02E19CE930B1C9023FAA5D5F38D34353C2D8C04C158F89257627A19EFC" TargetMode="External"/><Relationship Id="rId58" Type="http://schemas.openxmlformats.org/officeDocument/2006/relationships/image" Target="media/image3.wmf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consultantplus://offline/ref=C9A62DC641C09BDF07EB242A010A661488DDA62F6CD372768F52C7FFC02E19DC9353109124E6A7D5E6DB657316EBC" TargetMode="External"/><Relationship Id="rId23" Type="http://schemas.openxmlformats.org/officeDocument/2006/relationships/hyperlink" Target="consultantplus://offline/ref=C9A62DC641C09BDF07EB242A010A66148BDEAD2E68D372768F52C7FFC02E19DC9353109124E6A7D5E6DB657316EBC" TargetMode="External"/><Relationship Id="rId28" Type="http://schemas.openxmlformats.org/officeDocument/2006/relationships/hyperlink" Target="consultantplus://offline/ref=C9A62DC641C09BDF07EB3B3F040A661489D2A0276DDB2F7C870BCBFDC72146D99442109126FCAFDFAC88212464218A1DDE58E78E556017EAC" TargetMode="External"/><Relationship Id="rId36" Type="http://schemas.openxmlformats.org/officeDocument/2006/relationships/hyperlink" Target="consultantplus://offline/ref=C9A62DC641C09BDF07EB3B3F040A661489D2A0276DDB2F7C870BCBFDC72146D99442109122FCA7DFAC88212464218A1DDE58E78E556017EAC" TargetMode="External"/><Relationship Id="rId49" Type="http://schemas.openxmlformats.org/officeDocument/2006/relationships/hyperlink" Target="consultantplus://offline/ref=C9A62DC641C09BDF07EB242A010A661488DAA12568D372768F52C7FFC02E19CE930B1C9023F8A2D0F38D34353C2D8C04C158F89257627A19EFC" TargetMode="External"/><Relationship Id="rId57" Type="http://schemas.openxmlformats.org/officeDocument/2006/relationships/hyperlink" Target="consultantplus://offline/ref=C9A62DC641C09BDF07EB3B3F040A66148ED8A4206EDF2F7C870BCBFDC72146D99442109221F8A6DFAC88212464218A1DDE58E78E556017EAC" TargetMode="External"/><Relationship Id="rId10" Type="http://schemas.openxmlformats.org/officeDocument/2006/relationships/hyperlink" Target="consultantplus://offline/ref=C9A62DC641C09BDF07EB3B3F040A66148ED9AC266DD82F7C870BCBFDC72146D99442109123F8A7D2FAD231202D758002D847F88D4B60789F1CE8C" TargetMode="External"/><Relationship Id="rId19" Type="http://schemas.openxmlformats.org/officeDocument/2006/relationships/hyperlink" Target="consultantplus://offline/ref=C9A62DC641C09BDF07EB242A010A66148CD3A520678E787ED65EC5F8CF711CC9820B1C973DF9A7CAFAD96717E3C" TargetMode="External"/><Relationship Id="rId31" Type="http://schemas.openxmlformats.org/officeDocument/2006/relationships/hyperlink" Target="consultantplus://offline/ref=C9A62DC641C09BDF07EB3B3F040A66148ED9AD2F6DDB2F7C870BCBFDC72146D98642489D22FFB8D5F9C767716B12E2C" TargetMode="External"/><Relationship Id="rId44" Type="http://schemas.openxmlformats.org/officeDocument/2006/relationships/hyperlink" Target="consultantplus://offline/ref=C9A62DC641C09BDF07EB242A010A661488DBA32E6BD372768F52C7FFC02E19CE930B1C9023F8A5DDF38D34353C2D8C04C158F89257627A19EFC" TargetMode="External"/><Relationship Id="rId52" Type="http://schemas.openxmlformats.org/officeDocument/2006/relationships/hyperlink" Target="consultantplus://offline/ref=C9A62DC641C09BDF07EB242A010A661488DAA12568D372768F52C7FFC02E19CE930B1C9023FAA5D4F38D34353C2D8C04C158F89257627A19EFC" TargetMode="External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9A62DC641C09BDF07EB3B3F040A66148ED9AD2F6DDB2F7C870BCBFDC72146D98642489D22FFB8D5F9C767716B12E2C" TargetMode="External"/><Relationship Id="rId14" Type="http://schemas.openxmlformats.org/officeDocument/2006/relationships/hyperlink" Target="consultantplus://offline/ref=C9A62DC641C09BDF07EB242A010A661488DDA62F6DD372768F52C7FFC02E19DC9353109124E6A7D5E6DB657316EBC" TargetMode="External"/><Relationship Id="rId22" Type="http://schemas.openxmlformats.org/officeDocument/2006/relationships/hyperlink" Target="consultantplus://offline/ref=C9A62DC641C09BDF07EB242A010A66148BDEAD2E69D372768F52C7FFC02E19DC9353109124E6A7D5E6DB657316EBC" TargetMode="External"/><Relationship Id="rId27" Type="http://schemas.openxmlformats.org/officeDocument/2006/relationships/hyperlink" Target="consultantplus://offline/ref=C9A62DC641C09BDF07EB3B3F040A661489D2A0276DDB2F7C870BCBFDC72146D99442109123F8A3D2FAD231202D758002D847F88D4B60789F1CE8C" TargetMode="External"/><Relationship Id="rId30" Type="http://schemas.openxmlformats.org/officeDocument/2006/relationships/hyperlink" Target="consultantplus://offline/ref=C9A62DC641C09BDF07EB3B3F040A66148ED9AC266DD82F7C870BCBFDC72146D99442109123F8A7D2FAD231202D758002D847F88D4B60789F1CE8C" TargetMode="External"/><Relationship Id="rId35" Type="http://schemas.openxmlformats.org/officeDocument/2006/relationships/hyperlink" Target="consultantplus://offline/ref=C9A62DC641C09BDF07EB3B3F040A661489D2A0276DDB2F7C870BCBFDC72146D99442109123F8A3D2FAD231202D758002D847F88D4B60789F1CE8C" TargetMode="External"/><Relationship Id="rId43" Type="http://schemas.openxmlformats.org/officeDocument/2006/relationships/hyperlink" Target="consultantplus://offline/ref=C9A62DC641C09BDF07EB242A010A66148BD3A2226FD372768F52C7FFC02E19CE930B1C9020FFAEDDF38D34353C2D8C04C158F89257627A19EFC" TargetMode="External"/><Relationship Id="rId48" Type="http://schemas.openxmlformats.org/officeDocument/2006/relationships/hyperlink" Target="consultantplus://offline/ref=C9A62DC641C09BDF07EB242A010A661488DBA32E6BD372768F52C7FFC02E19CE930B1C9023FAA2D2F38D34353C2D8C04C158F89257627A19EFC" TargetMode="External"/><Relationship Id="rId56" Type="http://schemas.openxmlformats.org/officeDocument/2006/relationships/image" Target="media/image2.wmf"/><Relationship Id="rId8" Type="http://schemas.openxmlformats.org/officeDocument/2006/relationships/hyperlink" Target="consultantplus://offline/ref=C9A62DC641C09BDF07EB3B3F040A661489D2A0276DDB2F7C870BCBFDC72146D99442109122FBA4DFAC88212464218A1DDE58E78E556017EAC" TargetMode="External"/><Relationship Id="rId51" Type="http://schemas.openxmlformats.org/officeDocument/2006/relationships/hyperlink" Target="consultantplus://offline/ref=C9A62DC641C09BDF07EB242A010A661488DAA12568D372768F52C7FFC02E19CE930B1C9023FAA4D5F38D34353C2D8C04C158F89257627A19EFC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7302</Words>
  <Characters>41627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Novoselov</dc:creator>
  <cp:lastModifiedBy>Novoselov</cp:lastModifiedBy>
  <cp:revision>1</cp:revision>
  <dcterms:created xsi:type="dcterms:W3CDTF">2022-11-17T02:04:00Z</dcterms:created>
  <dcterms:modified xsi:type="dcterms:W3CDTF">2022-11-17T02:06:00Z</dcterms:modified>
</cp:coreProperties>
</file>