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BB9" w:rsidRPr="001B54D0" w:rsidRDefault="00BD6BB9" w:rsidP="001B54D0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B54D0">
        <w:rPr>
          <w:rFonts w:ascii="Times New Roman" w:hAnsi="Times New Roman" w:cs="Times New Roman"/>
          <w:sz w:val="24"/>
          <w:szCs w:val="24"/>
        </w:rPr>
        <w:t>ТОМСКАЯ ОБЛАСТЬ</w:t>
      </w:r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ГОРОДСКОЙ ОКРУГ</w:t>
      </w:r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ЗАКРЫТОЕ АДМИНИСТРАТИВНО-ТЕРРИТОРИАЛЬНОЕ ОБРАЗОВАНИЕ</w:t>
      </w:r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СЕВЕРСК</w:t>
      </w:r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ДУМА</w:t>
      </w:r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ЗАКРЫТОГО АДМИНИСТРАТИВНО-ТЕРРИТОРИАЛЬНОГО ОБРАЗОВАНИЯ</w:t>
      </w:r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СЕВЕРСК</w:t>
      </w:r>
    </w:p>
    <w:p w:rsidR="00BD6BB9" w:rsidRPr="001B54D0" w:rsidRDefault="00BD6BB9" w:rsidP="001B54D0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РЕШЕНИЕ</w:t>
      </w:r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от 30 сентября 2021 г. N 17/7</w:t>
      </w:r>
    </w:p>
    <w:p w:rsidR="00BD6BB9" w:rsidRPr="001B54D0" w:rsidRDefault="00BD6BB9" w:rsidP="001B54D0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ОБ УТВЕРЖДЕНИИ ПОЛОЖЕНИЯ О МУНИЦИПАЛЬНОМ ЗЕМЕЛЬНОМ КОНТРОЛЕ</w:t>
      </w:r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НА ТЕРРИТОРИИ ГОРОДСКОГО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ТОМСКОЙ ОБЛАСТИ</w:t>
      </w:r>
    </w:p>
    <w:p w:rsidR="00BD6BB9" w:rsidRPr="001B54D0" w:rsidRDefault="00BD6BB9" w:rsidP="001B54D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D6BB9" w:rsidRPr="001B54D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решений </w:t>
            </w:r>
            <w:proofErr w:type="gramStart"/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Думы</w:t>
            </w:r>
            <w:proofErr w:type="gramEnd"/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ЗАТО Северск</w:t>
            </w:r>
          </w:p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28.04.2022 </w:t>
            </w:r>
            <w:hyperlink r:id="rId7">
              <w:r w:rsidRPr="001B54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24/14</w:t>
              </w:r>
            </w:hyperlink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27.06.2024 </w:t>
            </w:r>
            <w:hyperlink r:id="rId8">
              <w:r w:rsidRPr="001B54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49/6</w:t>
              </w:r>
            </w:hyperlink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28.08.2025 </w:t>
            </w:r>
            <w:hyperlink r:id="rId9">
              <w:r w:rsidRPr="001B54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61/13</w:t>
              </w:r>
            </w:hyperlink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27.08.2026 </w:t>
            </w:r>
            <w:hyperlink r:id="rId10">
              <w:r w:rsidRPr="001B54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12/4</w:t>
              </w:r>
            </w:hyperlink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11">
        <w:proofErr w:type="spellStart"/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статьей</w:t>
        </w:r>
        <w:proofErr w:type="spellEnd"/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 xml:space="preserve"> 3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 "О государственном контроле (надзоре) и муниципальном контроле (надзоре) в Российской Федерации", рассмотрев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внесенный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Мэром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проект решения Думы ЗАТО Северск "Об утверждении Положения о муниципальном земельном контроле на территории городского округа ЗАТО Северск Томской области", Дума ЗАТО Северск решила: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41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о муниципальном земельном контроле на территории городского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Томской области согласно приложению.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3. Опубликовать решение в средстве массовой информации "Официальный бюллетень муниципальных правовых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актов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Северск" и разместить в информационно-телекоммуникационной сети "Интернет" на официальном сайте Думы ЗАТО Северск (</w:t>
      </w:r>
      <w:hyperlink r:id="rId12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https://duma-seversk.ru</w:t>
        </w:r>
      </w:hyperlink>
      <w:r w:rsidRPr="001B54D0">
        <w:rPr>
          <w:rFonts w:ascii="Times New Roman" w:hAnsi="Times New Roman" w:cs="Times New Roman"/>
          <w:sz w:val="24"/>
          <w:szCs w:val="24"/>
        </w:rPr>
        <w:t>) и на официальном сайте Администрации ЗАТО Северск (</w:t>
      </w:r>
      <w:hyperlink r:id="rId13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https://зато-северск.рф</w:t>
        </w:r>
      </w:hyperlink>
      <w:r w:rsidRPr="001B54D0">
        <w:rPr>
          <w:rFonts w:ascii="Times New Roman" w:hAnsi="Times New Roman" w:cs="Times New Roman"/>
          <w:sz w:val="24"/>
          <w:szCs w:val="24"/>
        </w:rPr>
        <w:t>).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Председатель Думы</w:t>
      </w:r>
    </w:p>
    <w:p w:rsidR="00BD6BB9" w:rsidRPr="001B54D0" w:rsidRDefault="00BD6BB9" w:rsidP="001B54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ЗАТО Северск</w:t>
      </w:r>
    </w:p>
    <w:p w:rsidR="00BD6BB9" w:rsidRPr="001B54D0" w:rsidRDefault="00BD6BB9" w:rsidP="001B54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Г.А.ШАМИН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1B54D0">
        <w:rPr>
          <w:rFonts w:ascii="Times New Roman" w:hAnsi="Times New Roman" w:cs="Times New Roman"/>
          <w:sz w:val="24"/>
          <w:szCs w:val="24"/>
        </w:rPr>
        <w:t>Мэр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</w:t>
      </w:r>
    </w:p>
    <w:p w:rsidR="00BD6BB9" w:rsidRPr="001B54D0" w:rsidRDefault="00BD6BB9" w:rsidP="001B54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Н.В.ДИДЕНКО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Приложение</w:t>
      </w:r>
    </w:p>
    <w:p w:rsidR="00BD6BB9" w:rsidRPr="001B54D0" w:rsidRDefault="00BD6BB9" w:rsidP="001B54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к решению</w:t>
      </w:r>
    </w:p>
    <w:p w:rsidR="00BD6BB9" w:rsidRPr="001B54D0" w:rsidRDefault="00BD6BB9" w:rsidP="001B54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1B54D0">
        <w:rPr>
          <w:rFonts w:ascii="Times New Roman" w:hAnsi="Times New Roman" w:cs="Times New Roman"/>
          <w:sz w:val="24"/>
          <w:szCs w:val="24"/>
        </w:rPr>
        <w:t>Думы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</w:t>
      </w:r>
    </w:p>
    <w:p w:rsidR="00BD6BB9" w:rsidRPr="001B54D0" w:rsidRDefault="00BD6BB9" w:rsidP="001B54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от 30.09.2021 N 17/7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1"/>
      <w:bookmarkEnd w:id="1"/>
      <w:r w:rsidRPr="001B54D0">
        <w:rPr>
          <w:rFonts w:ascii="Times New Roman" w:hAnsi="Times New Roman" w:cs="Times New Roman"/>
          <w:sz w:val="24"/>
          <w:szCs w:val="24"/>
        </w:rPr>
        <w:lastRenderedPageBreak/>
        <w:t>ПОЛОЖЕНИЕ</w:t>
      </w:r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О МУНИЦИПАЛЬНОМ ЗЕМЕЛЬНОМ КОНТРОЛЕ НА ТЕРРИТОРИИ</w:t>
      </w:r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ТОМСКОЙ ОБЛАСТИ</w:t>
      </w:r>
    </w:p>
    <w:p w:rsidR="00BD6BB9" w:rsidRPr="001B54D0" w:rsidRDefault="00BD6BB9" w:rsidP="001B54D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D6BB9" w:rsidRPr="001B54D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решений </w:t>
            </w:r>
            <w:proofErr w:type="gramStart"/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Думы</w:t>
            </w:r>
            <w:proofErr w:type="gramEnd"/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ЗАТО Северск</w:t>
            </w:r>
          </w:p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28.04.2022 </w:t>
            </w:r>
            <w:hyperlink r:id="rId14">
              <w:r w:rsidRPr="001B54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24/14</w:t>
              </w:r>
            </w:hyperlink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27.06.2024 </w:t>
            </w:r>
            <w:hyperlink r:id="rId15">
              <w:r w:rsidRPr="001B54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49/6</w:t>
              </w:r>
            </w:hyperlink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28.08.2025 </w:t>
            </w:r>
            <w:hyperlink r:id="rId16">
              <w:r w:rsidRPr="001B54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61/13</w:t>
              </w:r>
            </w:hyperlink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27.08.2026 </w:t>
            </w:r>
            <w:hyperlink r:id="rId17">
              <w:r w:rsidRPr="001B54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12/4</w:t>
              </w:r>
            </w:hyperlink>
            <w:r w:rsidRPr="001B54D0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1. Настоящее Положение определяет порядок организации и осуществления муниципального земельного контроля на территории городского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Томской области.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2. Муниципальный земельный контроль представляет собой деятельность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Северск, направленную на предупреждение, выявление и пресечение нарушений обязательных требований (далее - требования земельного законодательства), осуществляемую в пределах полномочий Администрации ЗАТО Северск посредством профилактики нарушений требований земельного законодательства, оценки соблюдения гражданами, в том числе осуществляющими предпринимательскую деятельность, являющимися индивидуальными предпринимателями, а также организациями, являющимися юридическими лицами (далее - контролируемые лица), требований земельного законодательства Российской Федерации, выявления их нарушений, принятия предусмотренных законодательством Российской Федерации мер по пресечению выявленных нарушений требований земельного законодательства, устранению их последствий и (или) восстановлению правового положения, существовавшего до возникновения таких нарушений.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3. Предмет муниципального земельного контроля определяется в соответствии со </w:t>
      </w:r>
      <w:hyperlink r:id="rId18">
        <w:proofErr w:type="spellStart"/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статьей</w:t>
        </w:r>
        <w:proofErr w:type="spellEnd"/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 xml:space="preserve"> 15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 "О государственном контроле (надзоре) и муниципальном контроле в Российской Федерации".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4. Органом, уполномоченным на осуществление муниципального земельного контроля, является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Администрация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в лице Управления имущественных отношений Администрации ЗАТО Северск (далее - Уполномоченный орган).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5. Должностными лицами, уполномоченными осуществлять муниципальный земельный контроль, являются: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Мэр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(осуществляет общее руководство деятельностью по муниципальному земельному контролю);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2) заместитель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Мэра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по экономике и финансам (осуществляет непосредственное руководство деятельностью по муниципальному земельному контролю);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3) начальник отдела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учета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земли и сделок с ней Управления имущественных отношений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Северск, заместитель начальника отдела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учета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земли и сделок с ней Управления имущественных отношений Администрации ЗАТО Северск (далее - инспектор).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6. Муниципальный земельный контроль осуществляется в отношении расположенных в границах городского округа закрытого административно-территориального образования Северск Томской области земель.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7. Муниципальный земельный контроль на территории городского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Томской области в отношении резидентов территории опережающего социально-экономического развития "Северск" осуществляется с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учетом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особенностей, установленных Федеральным </w:t>
      </w:r>
      <w:hyperlink r:id="rId19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от 29 декабря 2014 года N 473-ФЗ "О территориях опережающего социально-экономического развития в Российской Федерации".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 xml:space="preserve">Объектами муниципального земельного контроля (далее - объект контроля) </w:t>
      </w:r>
      <w:r w:rsidRPr="001B54D0">
        <w:rPr>
          <w:rFonts w:ascii="Times New Roman" w:hAnsi="Times New Roman" w:cs="Times New Roman"/>
          <w:sz w:val="24"/>
          <w:szCs w:val="24"/>
        </w:rPr>
        <w:lastRenderedPageBreak/>
        <w:t>являются деятельность, действия (бездействие) граждан и организаций, в рамках которых должны соблюдаться обязательные требования земельного законодательства Российской Федерации,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к которым предъявляются обязательные требования земельного законодательства Российской Федерации, земельные участки, которыми граждане и организации владеют и (или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>) пользуются.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9. Досудебный порядок подачи жалоб при осуществлении муниципального земельного контроля не применяется.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10. Согласно </w:t>
      </w:r>
      <w:hyperlink r:id="rId20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части 2 статьи 61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 "О государственном контроле (надзоре) и муниципальном контроле в Российской Федерации" (далее - Федеральный закон от 31 июля 2020 года N 248-ФЗ) при осуществлении муниципального земельного контроля плановые контрольные (надзорные) мероприятия не проводятся.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11. В соответствии с </w:t>
      </w:r>
      <w:hyperlink r:id="rId21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частью 3 статьи 66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 все внеплановые контрольные (надзорные) мероприятия проводятся после согласования с органами прокуратуры.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12. Доклад о муниципальном земельном контроле готовится ежегодно по итогам осуществления за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отчетный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период, утверждается распоряжением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и размещается на официальном сайте Администрации ЗАТО Северск в информационно-телекоммуникационной сети "Интернет" в срок не позднее 15 марта года, следующего за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отчетным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>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II. УПРАВЛЕНИЕ РИСКАМИ ПРИЧИНЕНИЯ ВРЕДА (УЩЕРБА)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ОХРАНЯЕМЫМ</w:t>
      </w:r>
      <w:proofErr w:type="gramEnd"/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ЗАКОНОМ ЦЕННОСТЯМ ПРИ ОСУЩЕСТВЛЕНИИ КОНТРОЛЯ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13. В целях оценки риска причинения вреда (ущерба)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Уполномоченный орган для целей управления рисками причинения вреда (ущерба) при осуществлении муниципального земельного контроля относит объекты контроля к одной из следующих категорий риска причинения вреда (ущерба) (далее - категории риска):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1) средний риск;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2) умеренный риск;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3) низкий риск.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Критерии отнесения объектов контроля к категориям риска в рамках осуществления муниципального земельного контроля: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а) к категории среднего риска относятся: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- земельные участки, предназначенные для захоронения и размещения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твердых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бытовых отходов, размещения кладбищ, и примыкающие к ним земельные участки;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- земельные участки, предназначенные для гаражного и (или) жилищного строительства, ведения личного подсобного хозяйства (приусадебные земельные участки);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б) к категории умеренного риска относятся земельные участки со следующими видами разрешенного использования (коды установлены в соответствии с </w:t>
      </w:r>
      <w:hyperlink r:id="rId22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классификатором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видов разрешенного использования земельных участков, утвержденным приказом Федеральной службы государственной регистрации, кадастра и картографии от 10 ноября 2020 года N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>/0412 "Об утверждении классификатора видов разрешенного использования земельных участков"):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- сельскохозяйственное использование </w:t>
      </w:r>
      <w:hyperlink r:id="rId23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1.0)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- объекты торговли (торговые центры, торгово-развлекательные центры (комплексы) </w:t>
      </w:r>
      <w:hyperlink r:id="rId24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4.2)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- магазины </w:t>
      </w:r>
      <w:hyperlink r:id="rId25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4.4)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- общественное питание </w:t>
      </w:r>
      <w:hyperlink r:id="rId26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4.6)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lastRenderedPageBreak/>
        <w:t xml:space="preserve">- гостиничное обслуживание </w:t>
      </w:r>
      <w:hyperlink r:id="rId27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4.7)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- объекты дорожного сервиса </w:t>
      </w:r>
      <w:hyperlink r:id="rId28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4.9.1)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тяжелая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промышленность </w:t>
      </w:r>
      <w:hyperlink r:id="rId29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6.2)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- пищевая промышленность </w:t>
      </w:r>
      <w:hyperlink r:id="rId30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6.4)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- строительная промышленность </w:t>
      </w:r>
      <w:hyperlink r:id="rId31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6.6)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- энергетика </w:t>
      </w:r>
      <w:hyperlink r:id="rId32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6.7)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- склады </w:t>
      </w:r>
      <w:hyperlink r:id="rId33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6.9)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- автомобильный транспорт </w:t>
      </w:r>
      <w:hyperlink r:id="rId34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7.2)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- ведение огородничества </w:t>
      </w:r>
      <w:hyperlink r:id="rId35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13.1)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54D0">
        <w:rPr>
          <w:rFonts w:ascii="Times New Roman" w:hAnsi="Times New Roman" w:cs="Times New Roman"/>
          <w:sz w:val="24"/>
          <w:szCs w:val="24"/>
        </w:rPr>
        <w:t>- граничащие с земельными участками с видами разрешенного использования:</w:t>
      </w:r>
      <w:proofErr w:type="gramEnd"/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сельскохозяйственное использование </w:t>
      </w:r>
      <w:hyperlink r:id="rId36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1.0)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природно-познавательный туризм </w:t>
      </w:r>
      <w:hyperlink r:id="rId37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5.2)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деятельность по особой охране и изучению природы </w:t>
      </w:r>
      <w:hyperlink r:id="rId38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9.0)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санаторная деятельность </w:t>
      </w:r>
      <w:hyperlink r:id="rId39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9.2.1)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общее пользование водными объектами </w:t>
      </w:r>
      <w:hyperlink r:id="rId40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11.1)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гидротехнические сооружения </w:t>
      </w:r>
      <w:hyperlink r:id="rId41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11.3)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ведение огородничества </w:t>
      </w:r>
      <w:hyperlink r:id="rId42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(код 13.1)</w:t>
        </w:r>
      </w:hyperlink>
      <w:r w:rsidRPr="001B54D0">
        <w:rPr>
          <w:rFonts w:ascii="Times New Roman" w:hAnsi="Times New Roman" w:cs="Times New Roman"/>
          <w:sz w:val="24"/>
          <w:szCs w:val="24"/>
        </w:rPr>
        <w:t>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если объект контроля не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отнесен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Уполномоченным органом к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определенной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категории риска, он считается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отнесенным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к категории низкого риска.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(п. 13 в ред. </w:t>
      </w:r>
      <w:hyperlink r:id="rId43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решения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Думы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от 28.08.2025 N 61/13)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III. КОНТРОЛЬНЫЕ (НАДЗОРНЫЕ) МЕРОПРИЯТИЯ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14. В рамках осуществления муниципального земельного контроля проводятся следующие контрольные (надзорные) мероприятия и соответствующие им контрольные (надзорные) действия: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1) инспекционный визит (осмотр, опрос, получение письменных объяснений, истребование документов);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2) рейдовый осмотр (осмотр, опрос, получение письменных объяснений, истребование документов);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3) документарная проверка (получение письменных объяснений, истребование документов);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4) выездная проверка (осмотр, опрос, получение письменных объяснений, истребование документов);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5) выездное обследование.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15. При проведении контрольных (надзорных) мероприятий для фиксации должностным лицом и лицами, привлекаемыми к совершению контрольных (надзорных) действий, доказательств нарушений обязательных требований могут использоваться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фотосъемка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>, аудио- и видеозапись, иные способы фиксации доказательств.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При проведении выездной проверки и выездного обследования осуществляется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фотосъемка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или видеозапись доказательств нарушений обязательных требований.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Аудио- и видеозапись осуществляется в ходе проведения контрольного (надзорного)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16.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 xml:space="preserve">Должностное лицо и лица, привлекаемые к совершению контрольных (надзорных) действий, применяющие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фотосъемку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>, аудио- и видеозапись, иные способы фиксации доказательств, уведомляют лиц, присутствующих при проведении контрольного (надзорного) действия, о применении соответствующего способа фиксации доказательств.</w:t>
      </w:r>
      <w:proofErr w:type="gramEnd"/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17. Материалы, полученные в результате применения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фотосъемки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>, аудио- и видеозаписи, иных способов фиксации доказательств, хранятся вместе с материалами соответствующего контрольного (надзорного) мероприятия. В случае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если материалы, полученные в результате применения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фотосъемки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, аудио- и видеозаписи, иных способов фиксации доказательств, существуют только в электронной форме, такие материалы </w:t>
      </w:r>
      <w:r w:rsidRPr="001B54D0">
        <w:rPr>
          <w:rFonts w:ascii="Times New Roman" w:hAnsi="Times New Roman" w:cs="Times New Roman"/>
          <w:sz w:val="24"/>
          <w:szCs w:val="24"/>
        </w:rPr>
        <w:lastRenderedPageBreak/>
        <w:t>хранятся у Уполномоченного органа в течение сроков хранения материалов соответствующего контрольного (надзорного) мероприятия.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18. Срок проведения выездной проверки не может превышать 10 рабочих дней.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15 часов для малого предприятия и 15 часов для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микропредприятия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, за исключением выездной проверки, основанием для проведения которой является </w:t>
      </w:r>
      <w:hyperlink r:id="rId44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пункт 6 части 1 статьи 57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 и которая для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микропредприятия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не может продолжаться более 40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20. В случае несогласия с фактами и выводами, изложенными в акте контрольного (надзорного) мероприятия, контролируемое лицо вправе обжаловать его в соответствии с действующим законодательством.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21. Должностными лицами Уполномоченного органа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ведется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учет объектов контроля в соответствии с Федеральным </w:t>
      </w:r>
      <w:hyperlink r:id="rId45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от 31 июля 2020 года N 248-ФЗ,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внесения сведений о них в журнал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учета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объектов контроля.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При сборе, обработке, анализе и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учете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сведений об объектах контроля Уполномоченный орган используют информацию, представляемую им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IV. ОРГАНИЗАЦИЯ И ПРОВЕДЕНИЕ ВНЕПЛАНОВОЙ ПРОВЕРКИ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22. Основаниями для проведения внеплановой проверки является: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1) наличие у Уполномоченного органа сведений о причинении вреда (ущерба) или об угрозе причинения вреда (ущерба) охраняемым законом ценностям с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учетом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положений </w:t>
      </w:r>
      <w:hyperlink r:id="rId46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статьи 60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248-ФЗ;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. 1 в ред. </w:t>
      </w:r>
      <w:hyperlink r:id="rId47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решения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Думы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от 28.08.2025 N 61/13)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2) поручение Президента Российской Федерации, поручение Правительства Российской Федерации о проведении контрольных (надзорных) мероприятий в отношении конкретных контролируемых лиц;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3)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4) истечение срока исполнения решения контрольного (надзорного) органа об устранении выявленного нарушения обязательных требований - в случаях, установленных </w:t>
      </w:r>
      <w:hyperlink r:id="rId48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95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5)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. 5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введен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hyperlink r:id="rId49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решением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Думы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от 28.08.2025 N 61/13)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6) уклонение контролируемого лица от проведения обязательного профилактического визита.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. 6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введен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hyperlink r:id="rId50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решением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Думы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от 28.08.2025 N 61/13)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23. Для проведения внеплановой проверки, предусматривающей взаимодействие с контролируемым лицом, а также документарной проверки принимается распоряжение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о проведении внеплановой проверки по муниципальному земельному контролю (далее - распоряжение) по форме,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утвержденной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hyperlink r:id="rId51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Министерства экономического развития Российской Федерации от 31 марта 2021 N 151 "О типовых формах документов, используемых контрольным (надзорным) органом" (далее - приказ Минэкономразвития России от 31.03.2021 N 151).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24.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 xml:space="preserve">В день подписания распоряжения в целях согласования проведения контрольного (надзорного) мероприятия Уполномоченный орган направляет в орган прокуратуры сведения о внеплановом контрольном (надзорном) мероприятии с приложением копии решения о проведении внепланового контрольного (надзорного) мероприятия и </w:t>
      </w:r>
      <w:r w:rsidRPr="001B54D0">
        <w:rPr>
          <w:rFonts w:ascii="Times New Roman" w:hAnsi="Times New Roman" w:cs="Times New Roman"/>
          <w:sz w:val="24"/>
          <w:szCs w:val="24"/>
        </w:rPr>
        <w:lastRenderedPageBreak/>
        <w:t xml:space="preserve">документов, которые содержат сведения, послужившие основанием для его проведения, в порядке,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утвержденном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Приказом Генерального прокурора Российской Федерации от 2 июня 2021 N 264 "О реализации Федерального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закона от 31.07.2020 N 248-ФЗ "О государственном контроле (надзоре) и муниципальном контроле в Российской Федерации".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25. Проведение внепланового контрольного (надзорного) мероприятия может быть начато после внесения в единый реестр контрольных (надзорных) мероприятий сведений, установленных правилами его формирования и ведения, за исключением наблюдения за соблюдением обязательных требований и выездного обследования, а также случаев неработоспособности единого реестра контрольных (надзорных) мероприятий, зафиксированных оператором реестра.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26.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 xml:space="preserve">Информирование контролируемых лиц о совершаемых должностными лицами Уполномоченного органа и иными уполномоченными лицами действиях и принимаемых решениях осуществляется в сроки и порядке, установленные Федеральным </w:t>
      </w:r>
      <w:hyperlink r:id="rId52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от 31 июля 2020 года N 248-ФЗ,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>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"Единый портал государственных и муниципальных услуг (функций)" (далее -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27. Контролируемое лицо считается проинформированным надлежащим образом в случае, если: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54D0">
        <w:rPr>
          <w:rFonts w:ascii="Times New Roman" w:hAnsi="Times New Roman" w:cs="Times New Roman"/>
          <w:sz w:val="24"/>
          <w:szCs w:val="24"/>
        </w:rPr>
        <w:t xml:space="preserve">1) сведения предоставлены контролируемому лицу в соответствии с </w:t>
      </w:r>
      <w:hyperlink r:id="rId53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21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248-ФЗ, в том числе направлены ему электронной почтой по адресу, сведения о котором представлены Уполномоченному органу контролируемым лицом и внесены в информационные ресурсы, информационные системы при осуществлении государственного контроля (надзора), муниципального контроля или оказании государственных и муниципальных услуг, за исключением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случаев, установленных </w:t>
      </w:r>
      <w:hyperlink r:id="rId54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частью 9 статьи 21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248-ФЗ. Для целей информирования контролируемого лица контрольным (надзорным) органом может использоваться адрес электронной почты, сведения о котором были представлены при государственной регистрации юридического лица, индивидуального предпринимателя;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54D0">
        <w:rPr>
          <w:rFonts w:ascii="Times New Roman" w:hAnsi="Times New Roman" w:cs="Times New Roman"/>
          <w:sz w:val="24"/>
          <w:szCs w:val="24"/>
        </w:rPr>
        <w:t>2) сведения были направлены в форме электронного документа, подписанного усиленной квалифицированной электронной подписью,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лиц, завершивших прохождение процедуры регистрации в единой системе идентификации и аутентификации, с подтверждением факта доставки таких сведений.</w:t>
      </w:r>
      <w:proofErr w:type="gramEnd"/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28. Документы, направляемые контролируемым лицом контрольному (надзорному) органу в электронном виде, подписываются: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54D0">
        <w:rPr>
          <w:rFonts w:ascii="Times New Roman" w:hAnsi="Times New Roman" w:cs="Times New Roman"/>
          <w:sz w:val="24"/>
          <w:szCs w:val="24"/>
        </w:rPr>
        <w:t>1) простой электронной подписью;</w:t>
      </w:r>
      <w:proofErr w:type="gramEnd"/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54D0">
        <w:rPr>
          <w:rFonts w:ascii="Times New Roman" w:hAnsi="Times New Roman" w:cs="Times New Roman"/>
          <w:sz w:val="24"/>
          <w:szCs w:val="24"/>
        </w:rPr>
        <w:t>2) простой электронной подписью,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форме, установленными Правительством Российской Федерации;</w:t>
      </w:r>
      <w:proofErr w:type="gramEnd"/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3) усиленной квалифицированной электронной подписью в случаях, установленных Федеральным </w:t>
      </w:r>
      <w:hyperlink r:id="rId55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от 31 июля 2020 года N 248-ФЗ.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29. В случаях, если индивидуальный предприниматель, гражданин, являющиеся контролируемыми лицами, не имеют возможности присутствовать при проведении </w:t>
      </w:r>
      <w:r w:rsidRPr="001B54D0">
        <w:rPr>
          <w:rFonts w:ascii="Times New Roman" w:hAnsi="Times New Roman" w:cs="Times New Roman"/>
          <w:sz w:val="24"/>
          <w:szCs w:val="24"/>
        </w:rPr>
        <w:lastRenderedPageBreak/>
        <w:t xml:space="preserve">контрольного (надзорного) мероприятия в связи с их выездом за пределы городского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Томской области, с временной нетрудоспособностью, административным арестом, избранием в отношении подозреваемого в совершении преступления гражданина меры пресечения в виде подписки о невыезде и надлежащем поведении, запрете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определенных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действий, заключения под стражу, домашнего ареста, наступление обстоятельств непреодолимой силы, препятствующих присутствию лица при проведении контрольного мероприятия (военные действия, катастрофа), стихийное бедствие, крупная авария, эпидемия), такие индивидуальный предприниматель, гражданин вправе представить в Уполномоченный орган соответствующую информацию с приложением подтверждающих документов (проездной документ, листок временной нетрудоспособности). В случае поступления такой информации в Уполномоченный орган проведение контрольного (надзорного) мероприятия переносится на срок, необходимый для устранения обстоятельств, послуживших поводом для данного обращения индивидуального предпринимателя, гражданина в Уполномоченный орган.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30. По окончании проведения контрольного (надзорного) мероприятия, предусматривающего взаимодействие с контролируемым лицом, составляется акт контрольного (надзорного) мероприятия (далее - акт) по форме,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утвержденной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hyperlink r:id="rId56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Минэкономразвития России от 31.03.2021 N 151, должностным лицом Уполномоченного органа. В случае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если по результатам проведения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(надзорного) 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(надзорного) мероприятия проверочные листы должны быть приобщены к акту.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Оформление акта производится на месте проведения контрольного (надзорного) мероприятия в день окончания проведения такого мероприятия, если иной порядок оформления акта не установлен Правительством Российской Федерации.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31. Результаты контрольного (надзорного) мероприятия, содержащие информацию, составляющую государственную, коммерческую, служебную или иную охраняемую законом тайну, оформляются с соблюдением требований, предусмотренных законодательством Российской Федерации.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32. Акт контрольного (надзорного)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33. Контролируемое лицо или его представитель знакомится с содержанием акта на месте проведения контрольного (надзорного) мероприятия, за исключением случаев, установленных </w:t>
      </w:r>
      <w:hyperlink r:id="rId57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88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54D0">
        <w:rPr>
          <w:rFonts w:ascii="Times New Roman" w:hAnsi="Times New Roman" w:cs="Times New Roman"/>
          <w:sz w:val="24"/>
          <w:szCs w:val="24"/>
        </w:rPr>
        <w:t xml:space="preserve">В случае проведения документарной проверки либо контрольного (надзорного) мероприятия без взаимодействия с контролируемым лицом, а также в случае, если составление акта по результатам контрольного (надзорного) мероприятия на месте его проведения невозможно по причине совершения контрольных (надзорных) действий, предусмотренных </w:t>
      </w:r>
      <w:hyperlink r:id="rId58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пунктами 6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, </w:t>
      </w:r>
      <w:hyperlink r:id="rId59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8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0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9 части 1 статьи 65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248-ФЗ, контрольный (надзорный) орган направляет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акт контролируемому лицу в порядке, установленном </w:t>
      </w:r>
      <w:hyperlink r:id="rId61">
        <w:proofErr w:type="spellStart"/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статьей</w:t>
        </w:r>
        <w:proofErr w:type="spellEnd"/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 xml:space="preserve"> 21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(надзорного) мероприятия в акте делается соответствующая отметка.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34.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 xml:space="preserve">В случае отсутствия руководителя, иного должностного лица или </w:t>
      </w:r>
      <w:r w:rsidRPr="001B54D0">
        <w:rPr>
          <w:rFonts w:ascii="Times New Roman" w:hAnsi="Times New Roman" w:cs="Times New Roman"/>
          <w:sz w:val="24"/>
          <w:szCs w:val="24"/>
        </w:rPr>
        <w:lastRenderedPageBreak/>
        <w:t>уполномоченного представителя контролируемого лица, а также в случае отказа контролируемого лица дать расписку об ознакомлении либо об отказе в ознакомлении с актом проверки экземпляр акта направляется в срок, не превышающий 5 рабочих дней со дня составления акта, заказным почтовым отправлением с уведомлением о вручении, которое приобщается к экземпляру акта, хранящемуся в деле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Уполномоченного органа, проводившего проверку.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35.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 xml:space="preserve">В случае выявления при проведении контрольного (надзорного) мероприятия нарушений обязательных требований контролируемым лицом Уполномоченный орган в пределах полномочий, предусмотренных законодательством Российской Федерации, обязан принять меры, предусмотренные </w:t>
      </w:r>
      <w:hyperlink r:id="rId62">
        <w:proofErr w:type="spellStart"/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статьей</w:t>
        </w:r>
        <w:proofErr w:type="spellEnd"/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 xml:space="preserve"> 90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248-ФЗ, в том числе выдать после оформления акта контролируемому лицу предписание об устранении выявленных нарушений с указанием разумных сроков их устранения и (или) о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мероприятий по предотвращению причинения вреда (ущерба) охраняемым законом ценностям, а также других мероприятий, предусмотренных федеральным законом о виде контроля.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36. Хранение акта, в том числе приложенных документов, связанных с результатами контрольных (надзорных) мероприятий, осуществляется в течение 5 лет.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V. МЕРОПРИЯТИЯ ПО КОНТРОЛЮ БЕЗ ВЗАИМОДЕЙСТВИЯ</w:t>
      </w:r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С КОНТРОЛИРУЕМЫМ ЛИЦОМ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37. Без взаимодействия с контролируемым лицом проводятся следующие контрольные (надзорные) мероприятия (далее - контрольные (надзорные) мероприятия без взаимодействия):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1) наблюдение за соблюдением обязательных требований;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2) выездное обследование.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Уполномоченным органом, осуществляющим муниципальный земельный контроль, могут выдаваться предписания об устранении выявленных нарушений обязательных требований к использованию и охране земель, выявленных в ходе наблюдения за соблюдением обязательных требований.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(абзац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введен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hyperlink r:id="rId63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решением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Думы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от 28.08.2025 N 61/13)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38. Контрольные (надзорные) мероприятия без взаимодействия проводятся должностными лицами Уполномоченного органа на основании заданий, утвержденных заместителем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Мэра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по экономике и финансам, включая задания, содержащиеся в планах работы Уполномоченного органа, в том числе в случаях, установленных Федеральным </w:t>
      </w:r>
      <w:hyperlink r:id="rId64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от 31 июля 2020 года N 248-ФЗ.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VI. ПРОФИЛАКТИЧЕСКИЕ МЕРОПРИЯТИЯ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39. В рамках осуществления муниципального земельного контроля Уполномоченный орган вправе проводить следующие профилактические мероприятия: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1) информирование;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2) объявление предостережения;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3) консультирование;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4) профилактический визит.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40. Консультирование осуществляется по обращениям контролируемых лиц и их представителей,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направленным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в том числе посредством единого портала государственных и муниципальных услуг или регионального портала государственных и муниципальных услуг.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54D0">
        <w:rPr>
          <w:rFonts w:ascii="Times New Roman" w:hAnsi="Times New Roman" w:cs="Times New Roman"/>
          <w:sz w:val="24"/>
          <w:szCs w:val="24"/>
        </w:rPr>
        <w:t xml:space="preserve">По итогам консультирования информация в письменной форме контролируемым лицам и их представителям не предоставляется, за исключением случаев, когда контролируемое лицо направит запрос о предоставлении письменного ответа в сроки, установленные Федеральным </w:t>
      </w:r>
      <w:hyperlink r:id="rId65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от 2 мая 2006 года N 59-ФЗ "О порядке рассмотрения обращений граждан Российской Федерации" (далее - Федеральный закон от </w:t>
      </w:r>
      <w:r w:rsidRPr="001B54D0">
        <w:rPr>
          <w:rFonts w:ascii="Times New Roman" w:hAnsi="Times New Roman" w:cs="Times New Roman"/>
          <w:sz w:val="24"/>
          <w:szCs w:val="24"/>
        </w:rPr>
        <w:lastRenderedPageBreak/>
        <w:t>2 мая 2006 года N 59-ФЗ).</w:t>
      </w:r>
      <w:proofErr w:type="gramEnd"/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(п. 40 в ред. </w:t>
      </w:r>
      <w:hyperlink r:id="rId66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решения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Думы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от 27.08.2026 N 12/4)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41. Консультирование по однотипным обращениям контролируемых лиц и их представителей осуществляется посредством размещения письменного разъяснения, подписанного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Мэром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на официальном сайте Администрации ЗАТО Северск в информационно-телекоммуникационной сети "Интернет".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42. Контролируемое лицо вправе после получения предостережения о недопустимости нарушения обязательных требований подать в контрольный (надзорный) орган возражение в отношении указанного предостережения, в том числе посредством единого портала государственных и муниципальных услуг или регионального портала государственных и муниципальных услуг.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. 42 в ред. </w:t>
      </w:r>
      <w:hyperlink r:id="rId67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решения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Думы ЗАТО Северск от 27.08.2026 N 12/4)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43. Возражение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подается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в срок не позднее 10 рабочих дней со дня получения предостережения.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44. В возражении указываются: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1) наименование юридического лица, фамилия, имя, отчество (при наличии) индивидуального предпринимателя, гражданина;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2) идентификационный номер налогоплательщика - юридического лица, индивидуального предпринимателя, гражданина;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3) дата и номер предостережения, направленного в адрес юридического лица, индивидуального предпринимателя, гражданина;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4) обоснование позиции в отношении указанных в предостережении действий (бездействия) юридического лица, индивидуального предпринимателя, гражданина, которые приводят или могут привести к нарушению обязательных требований, требований, установленных муниципальными правовыми актами.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45. Возражения направляются юридическим лицом, индивидуальным предпринимателем, гражданином в бумажном виде почтовым отправлением в Уполномоченный орган, либо в виде электронного документа, подписанного усиленной квалифицированной электронной подписью лица, уполномоченного действовать от имени юридического лица, индивидуального предпринимателя, гражданина, на указанный в предостережении адрес электронной почты Уполномоченного органа, либо иными указанными в предостережении способами.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46. Уполномоченный орган рассматривает возражения, по итогам рассмотрения направляет юридическому лицу, индивидуальному предпринимателю, гражданину в течение 20 рабочих дней со дня получения возражений ответ в бумажном виде почтовым отправлением либо в виде электронного документа, подписанного усиленной квалифицированной электронной подписью.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47. Информирование осуществляется в соответствии с </w:t>
      </w:r>
      <w:hyperlink r:id="rId68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частью 3 статьи 46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248-ФЗ, в том числе посредством размещения соответствующих сведений на официальном сайте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в информационно-телекоммуникационной сети "Интернет", в средствах массовых информации, через личные кабинеты контролируемых лиц в государственных информационных системах (при наличии) и иных формах.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VII. КОНСУЛЬТИРОВАНИЕ ПО ВОПРОСАМ ОСУЩЕСТВЛЕНИЯ</w:t>
      </w:r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МУНИЦИПАЛЬНОГО ЗЕМЕЛЬНОГО КОНТРОЛЯ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48. Консультирование осуществляет должностное лицо Уполномоченного органа (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дает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разъяснения по вопросам, связанным с организацией и осуществлением муниципального контроля). Консультирование осуществляется без взимания платы.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Консультирование может осуществляться должностным лицом Уполномоченного органа по телефону, посредством видео-конференц-связи, использования мобильного приложения "Инспектор", на личном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приеме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либо в ходе проведения профилактического мероприятия, контрольного (надзорного) мероприятия.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69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решения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Думы ЗАТО Северск от 27.08.2026 N 12/4)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определен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hyperlink w:anchor="P245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пунктом 52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Положения.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По итогам консультирования информация в письменной форме контролируемым лицам и их представителям не предоставляется, за исключением случаев, установленных федеральным законодательством. Контролируемое лицо вправе направить запрос о предоставлении письменного ответа в сроки, установленные Федеральным </w:t>
      </w:r>
      <w:hyperlink r:id="rId70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от 2 мая 2006 года N 59-ФЗ.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49. При осуществлении консультирования должностное лицо Уполномоченного органа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50.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(надзорного) мероприятия, решений и (или) действий должностных лиц уполномоченного органа, иных участников контрольного (надзорного) мероприятия, а также результаты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проведенных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в рамках контрольного (надзорного) мероприятия экспертизы, испытаний.</w:t>
      </w:r>
      <w:proofErr w:type="gramEnd"/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Информация, ставшая известной должностному лицу Уполномоченного органа в ходе консультирования, не может использоваться Уполномоченным органом в целях оценки контролируемого лица по вопросам соблюдения обязательных требований.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Уполномоченный орган осуществляет учет консультирований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внесения сведений о них в журнал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учета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консультирований в день их проведения.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По телефону предоставляется следующая информация: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1) о графике (режиме) работы Уполномоченного органа;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2) о решении по конкретному обращению (заявлению).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Посредством размещения на официальном сайте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в информационно-телекоммуникационной сети "Интернет" предоставляется следующая информация: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а) о месте нахождения, контактных телефонах, адресах электронной почты Уполномоченного органа;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б) о графике (режиме) работы Уполномоченного органа, порядке и времени личного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приема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контролируемых лиц и (или) их представителей;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в) о нормативных правовых актах по вопросам осуществления муниципального земельного контроля;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г) о результатах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проведенных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Уполномоченным органом контрольных мероприятий.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Посредством размещения на информационных стендах Уполномоченного органа предоставляется следующая информация: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о графике (режиме) работы Уполномоченного органа, порядке и времени личного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приема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контролируемых лиц и (или) их представителей;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о номерах кабинетов, фамилии, имени, отчестве, должностях должностных лиц, уполномоченных осуществлять муниципальный земельный контроль.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VIII. ПРОФИЛАКТИЧЕСКИЙ ВИЗИТ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51. Профилактический визит проводится Уполномоченным органом в форме профилактической беседы по месту осуществления деятельности контролируемого лица либо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использования видео-конференц-связи или мобильного приложения "Инспектор".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В ходе профилактического визита должностное лицо Уполномоченного органа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lastRenderedPageBreak/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(п. 51 в ред. </w:t>
      </w:r>
      <w:hyperlink r:id="rId71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решения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Думы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от 27.08.2026 N 12/4)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51.1. Обязательный профилактический визит проводится в случаях, предусмотренных </w:t>
      </w:r>
      <w:hyperlink r:id="rId72">
        <w:proofErr w:type="spellStart"/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статьей</w:t>
        </w:r>
        <w:proofErr w:type="spellEnd"/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 xml:space="preserve"> 52.1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чем за двадцать четыре часа до его начала в порядке, предусмотренном </w:t>
      </w:r>
      <w:hyperlink r:id="rId73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частью 5 статьи 21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В рамках обязательного профилактического визита должностное лицо Уполномоченного органа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Срок проведения обязательного профилактического визита не может превышать десять рабочих дней и может быть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продлен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на срок, необходимый для проведения экспертизы, испытаний.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По окончании проведения обязательного профилактического визита составляется акт о проведении обязательного профилактического визита в порядке, предусмотренном </w:t>
      </w:r>
      <w:hyperlink r:id="rId74">
        <w:proofErr w:type="spellStart"/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статьей</w:t>
        </w:r>
        <w:proofErr w:type="spellEnd"/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 xml:space="preserve"> 90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 для контрольных (надзорных) мероприятий.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Контролируемое лицо или его представитель знакомится с содержанием акта о проведении обязательного профилактического визита в порядке, предусмотренном </w:t>
      </w:r>
      <w:hyperlink r:id="rId75">
        <w:proofErr w:type="spellStart"/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статьей</w:t>
        </w:r>
        <w:proofErr w:type="spellEnd"/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 xml:space="preserve"> 88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 для контрольных (надзорных) мероприятий.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В случае невозможности проведения обязательного профилактического визита и (или) уклонения контролируемого лица от его проведения должностным лицом Уполномоченного органа составляется акт о невозможности проведения обязательного профилактического визита в порядке, предусмотренном </w:t>
      </w:r>
      <w:hyperlink r:id="rId76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частью 10 статьи 65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 для контрольных (надзорных) мероприятий.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В случае невозможности проведения обязательного профилактического визита уполномоченное должностное лицо Уполномоченного органа вправе не позднее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трех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месяцев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с даты составления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Предписание об устранении выявленных нарушений обязательных требований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выдается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</w:t>
      </w:r>
      <w:hyperlink r:id="rId77">
        <w:proofErr w:type="spellStart"/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статьей</w:t>
        </w:r>
        <w:proofErr w:type="spellEnd"/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 xml:space="preserve"> 90.1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(п. 51.1 в ред. </w:t>
      </w:r>
      <w:hyperlink r:id="rId78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решения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Думы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от 27.08.2026 N 12/4)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51.2. Профилактический визит по инициативе контролируемого лица может быть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проведен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Контролируемое лицо вправе обратиться в Уполномоченный орган с заявлением о проведении в отношении его профилактического визита посредством единого портала государственных и муниципальных услуг или регионального портала государственных и муниципальных услуг.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Уполномоченный орган рассматривает заявление контролируемого лица в течение десяти рабочих дней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с даты регистрации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указанного заявления и принимает решение о проведении профилактического визита либо об отказе в его проведении, о чем уведомляет контролируемое лицо.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54D0">
        <w:rPr>
          <w:rFonts w:ascii="Times New Roman" w:hAnsi="Times New Roman" w:cs="Times New Roman"/>
          <w:sz w:val="24"/>
          <w:szCs w:val="24"/>
        </w:rPr>
        <w:t xml:space="preserve">В случае принятия решения о проведении профилактического визита по инициативе </w:t>
      </w:r>
      <w:r w:rsidRPr="001B54D0">
        <w:rPr>
          <w:rFonts w:ascii="Times New Roman" w:hAnsi="Times New Roman" w:cs="Times New Roman"/>
          <w:sz w:val="24"/>
          <w:szCs w:val="24"/>
        </w:rPr>
        <w:lastRenderedPageBreak/>
        <w:t>контролируемого лица Уполномоченный орган в течение двадцати рабочих дней с даты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поступления такого заявления согласовывает дату его проведения с контролируемым лицом любым способом, обеспечивающим фиксирование такого согласования.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Уполномоченный орган принимает решение об отказе в проведении профилактического визита в следующих случаях: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1) от контролируемого лица поступило уведомление об отзыве заявления;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2)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повлекшими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невозможность проведения профилактического визита;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3) в течение года до даты подачи заявления контрольным (надзорным) органом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проведен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профилактический визит по ранее поданному заявлению;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4) контролируемое лицо не соответствует критериям, предусмотренным </w:t>
      </w:r>
      <w:hyperlink r:id="rId79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52.2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 248-ФЗ.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Решение об отказе в проведении профилактического визита может быть обжаловано контролируемым лицом в порядке, установленном Федеральным </w:t>
      </w:r>
      <w:hyperlink r:id="rId80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от 31 июля 2020 года N 248-ФЗ.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Контролируемое лицо вправе отозвать заявление либо направить отказ от проведения профилактического визита, уведомив об этом Уполномоченный орган не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чем за пять рабочих дней до даты его проведения.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Разъяснения и рекомендации, полученные контролируемым лицом в ходе профилактического визита, носят рекомендательный характер.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причинен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>, Уполномоченный орган незамедлительно направляет информацию об этом уполномоченному должностному лицу контрольного (надзорного) органа для принятия решения о проведении контрольных (надзорных) мероприятий.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(п. 51.2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введен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hyperlink r:id="rId81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решением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Думы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от 27.08.2026 N 12/4)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245"/>
      <w:bookmarkEnd w:id="2"/>
      <w:r w:rsidRPr="001B54D0">
        <w:rPr>
          <w:rFonts w:ascii="Times New Roman" w:hAnsi="Times New Roman" w:cs="Times New Roman"/>
          <w:sz w:val="24"/>
          <w:szCs w:val="24"/>
        </w:rPr>
        <w:t xml:space="preserve">52. Перечень вопросов, по которым осуществляется консультирование, в том числе перечень вопросов, по которым осуществляется письменное консультирование,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отображен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в таблице.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798"/>
        <w:gridCol w:w="2041"/>
        <w:gridCol w:w="349"/>
        <w:gridCol w:w="469"/>
        <w:gridCol w:w="1924"/>
      </w:tblGrid>
      <w:tr w:rsidR="00BD6BB9" w:rsidRPr="001B54D0">
        <w:tc>
          <w:tcPr>
            <w:tcW w:w="454" w:type="dxa"/>
            <w:vMerge w:val="restart"/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798" w:type="dxa"/>
            <w:vMerge w:val="restart"/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Вопросы, отражающие содержание обязательных требований</w:t>
            </w:r>
          </w:p>
        </w:tc>
        <w:tc>
          <w:tcPr>
            <w:tcW w:w="2041" w:type="dxa"/>
            <w:vMerge w:val="restart"/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42" w:type="dxa"/>
            <w:gridSpan w:val="3"/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</w:p>
        </w:tc>
      </w:tr>
      <w:tr w:rsidR="00BD6BB9" w:rsidRPr="001B54D0">
        <w:tc>
          <w:tcPr>
            <w:tcW w:w="454" w:type="dxa"/>
            <w:vMerge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vMerge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vMerge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" w:type="dxa"/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469" w:type="dxa"/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24" w:type="dxa"/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не распространяется требование</w:t>
            </w:r>
          </w:p>
        </w:tc>
      </w:tr>
      <w:tr w:rsidR="00BD6BB9" w:rsidRPr="001B54D0">
        <w:tc>
          <w:tcPr>
            <w:tcW w:w="454" w:type="dxa"/>
            <w:vAlign w:val="center"/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8" w:type="dxa"/>
            <w:vAlign w:val="center"/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1" w:type="dxa"/>
            <w:vAlign w:val="center"/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9" w:type="dxa"/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9" w:type="dxa"/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4" w:type="dxa"/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D6BB9" w:rsidRPr="001B54D0">
        <w:tc>
          <w:tcPr>
            <w:tcW w:w="454" w:type="dxa"/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8" w:type="dxa"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Используется ли контролируемым лицом земельный участок в соответствии с установленным целевым назначением и (или) видом разрешенного использования</w:t>
            </w:r>
          </w:p>
        </w:tc>
        <w:tc>
          <w:tcPr>
            <w:tcW w:w="2041" w:type="dxa"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>
              <w:r w:rsidRPr="001B54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 2 статьи 7</w:t>
              </w:r>
            </w:hyperlink>
            <w:r w:rsidRPr="001B54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83">
              <w:r w:rsidRPr="001B54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статья 42</w:t>
              </w:r>
            </w:hyperlink>
            <w:r w:rsidRPr="001B54D0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кодекса Российской Федерации</w:t>
            </w:r>
          </w:p>
        </w:tc>
        <w:tc>
          <w:tcPr>
            <w:tcW w:w="349" w:type="dxa"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BB9" w:rsidRPr="001B54D0">
        <w:tc>
          <w:tcPr>
            <w:tcW w:w="454" w:type="dxa"/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 xml:space="preserve">Имеются ли у контролируемого </w:t>
            </w:r>
            <w:r w:rsidRPr="001B5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лица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</w:t>
            </w:r>
          </w:p>
        </w:tc>
        <w:tc>
          <w:tcPr>
            <w:tcW w:w="2041" w:type="dxa"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>
              <w:r w:rsidRPr="001B54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 1 статьи 25</w:t>
              </w:r>
            </w:hyperlink>
            <w:r w:rsidRPr="001B54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кодекса Российской Федерации</w:t>
            </w:r>
          </w:p>
        </w:tc>
        <w:tc>
          <w:tcPr>
            <w:tcW w:w="349" w:type="dxa"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BB9" w:rsidRPr="001B54D0">
        <w:tc>
          <w:tcPr>
            <w:tcW w:w="454" w:type="dxa"/>
          </w:tcPr>
          <w:p w:rsidR="00BD6BB9" w:rsidRPr="001B54D0" w:rsidRDefault="00BD6BB9" w:rsidP="001B54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798" w:type="dxa"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54D0">
              <w:rPr>
                <w:rFonts w:ascii="Times New Roman" w:hAnsi="Times New Roman" w:cs="Times New Roman"/>
                <w:sz w:val="24"/>
                <w:szCs w:val="24"/>
              </w:rPr>
              <w:t xml:space="preserve">Зарегистрированы ли права либо обременение на используемый земельный участок (используемые земельные участки, часть земельного участка) в порядке, установленном Федеральным </w:t>
            </w:r>
            <w:hyperlink r:id="rId85">
              <w:r w:rsidRPr="001B54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законом</w:t>
              </w:r>
            </w:hyperlink>
            <w:r w:rsidRPr="001B54D0">
              <w:rPr>
                <w:rFonts w:ascii="Times New Roman" w:hAnsi="Times New Roman" w:cs="Times New Roman"/>
                <w:sz w:val="24"/>
                <w:szCs w:val="24"/>
              </w:rPr>
              <w:t xml:space="preserve"> от 13 июля 2015 года N 218-ФЗ "О государственной регистрации недвижимости"</w:t>
            </w:r>
          </w:p>
        </w:tc>
        <w:tc>
          <w:tcPr>
            <w:tcW w:w="2041" w:type="dxa"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>
              <w:r w:rsidRPr="001B54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 1 статьи 26</w:t>
              </w:r>
            </w:hyperlink>
            <w:r w:rsidRPr="001B54D0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кодекса Российской Федерации, </w:t>
            </w:r>
            <w:hyperlink r:id="rId87">
              <w:r w:rsidRPr="001B54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статья 8.1</w:t>
              </w:r>
            </w:hyperlink>
            <w:r w:rsidRPr="001B54D0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Гражданского кодекса Российской Федерации</w:t>
            </w:r>
          </w:p>
        </w:tc>
        <w:tc>
          <w:tcPr>
            <w:tcW w:w="349" w:type="dxa"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BD6BB9" w:rsidRPr="001B54D0" w:rsidRDefault="00BD6BB9" w:rsidP="001B54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IX. ОЦЕНКА РЕЗУЛЬТАТИВНОСТИ И ЭФФЕКТИВНОСТИ ДЕЯТЕЛЬНОСТИ</w:t>
      </w:r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УПОЛНОМОЧЕННОГО ОРГАНА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53. Устанавливаются следующие показатели результативности и эффективности деятельности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1. Ключевой показатель муниципального земельного контроля и его целевое значение: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1) сумма ущерба, 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причиненного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гражданам, организациям, публично-правовым образованиям, окружающей среде в результате нарушения обязательных требований, - не более 50 тыс. руб.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2. Индикативные показатели муниципального земельного контроля: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1) количество внеплановых контрольных (надзорных) мероприятий;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2) общее количество контрольных (надзорных) мероприятий с взаимодействием с контролируемым лицом;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3) количество предостережений о недопустимости нарушения обязательных требований земельного законодательства;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4) количество контрольных (надзорных) мероприятий, по результатам которых выявлены нарушения обязательных требований земельного законодательства;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5) общее количество жалоб, поданных контролируемыми лицами в досудебном порядке.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(п. 53 в ред. </w:t>
      </w:r>
      <w:hyperlink r:id="rId88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решения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Думы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от 28.04.2022 N 24/14)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X. ИНДИКАТОРЫ РИСКА НАРУШЕНИЯ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ОБЯЗАТЕЛЬНЫХ</w:t>
      </w:r>
      <w:proofErr w:type="gramEnd"/>
    </w:p>
    <w:p w:rsidR="00BD6BB9" w:rsidRPr="001B54D0" w:rsidRDefault="00BD6BB9" w:rsidP="001B54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ТРЕБОВАНИЙ ЗЕМЕЛЬНОГО ЗАКОНОДАТЕЛЬСТВА</w:t>
      </w:r>
    </w:p>
    <w:p w:rsidR="00BD6BB9" w:rsidRPr="001B54D0" w:rsidRDefault="00BD6BB9" w:rsidP="001B54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B54D0">
        <w:rPr>
          <w:rFonts w:ascii="Times New Roman" w:hAnsi="Times New Roman" w:cs="Times New Roman"/>
          <w:sz w:val="24"/>
          <w:szCs w:val="24"/>
        </w:rPr>
        <w:t>введен</w:t>
      </w:r>
      <w:proofErr w:type="spellEnd"/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hyperlink r:id="rId89">
        <w:r w:rsidRPr="001B54D0">
          <w:rPr>
            <w:rFonts w:ascii="Times New Roman" w:hAnsi="Times New Roman" w:cs="Times New Roman"/>
            <w:color w:val="0000FF"/>
            <w:sz w:val="24"/>
            <w:szCs w:val="24"/>
          </w:rPr>
          <w:t>решением</w:t>
        </w:r>
      </w:hyperlink>
      <w:r w:rsidRPr="001B5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Думы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от 28.04.2022 N 24/14)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54. Индикаторы риска нарушения обязательных требований земельного законодательства, используемые при принятии решения о проведении и выборе вида внепланового контрольного (надзорного) мероприятия при осуществлении муниципального земельного контроля: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 xml:space="preserve">1) отсутствие в </w:t>
      </w:r>
      <w:proofErr w:type="gramStart"/>
      <w:r w:rsidRPr="001B54D0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1B54D0">
        <w:rPr>
          <w:rFonts w:ascii="Times New Roman" w:hAnsi="Times New Roman" w:cs="Times New Roman"/>
          <w:sz w:val="24"/>
          <w:szCs w:val="24"/>
        </w:rPr>
        <w:t xml:space="preserve"> ЗАТО Северск и (или) Едином государственном реестре недвижимости (далее - ЕГРН) сведений о правах на используемый юридическим лицом, индивидуальным предпринимателем, гражданином земельный участок;</w:t>
      </w:r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54D0">
        <w:rPr>
          <w:rFonts w:ascii="Times New Roman" w:hAnsi="Times New Roman" w:cs="Times New Roman"/>
          <w:sz w:val="24"/>
          <w:szCs w:val="24"/>
        </w:rPr>
        <w:t xml:space="preserve">2) несоответствие использования юридическим лицом, индивидуальным предпринимателем, гражданином земельного участка, выявленное в результате </w:t>
      </w:r>
      <w:r w:rsidRPr="001B54D0">
        <w:rPr>
          <w:rFonts w:ascii="Times New Roman" w:hAnsi="Times New Roman" w:cs="Times New Roman"/>
          <w:sz w:val="24"/>
          <w:szCs w:val="24"/>
        </w:rPr>
        <w:lastRenderedPageBreak/>
        <w:t>проведения мероприятий по контролю без взаимодействия с юридическим лицом, индивидуальным предпринимателем, гражданином по целевому назначению в соответствии с его принадлежностью к той или иной категории земель и (или) видам разрешенного использования земельного участка, сведения о котором содержатся в ЕГРН;</w:t>
      </w:r>
      <w:proofErr w:type="gramEnd"/>
    </w:p>
    <w:p w:rsidR="00BD6BB9" w:rsidRPr="001B54D0" w:rsidRDefault="00BD6BB9" w:rsidP="001B54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54D0">
        <w:rPr>
          <w:rFonts w:ascii="Times New Roman" w:hAnsi="Times New Roman" w:cs="Times New Roman"/>
          <w:sz w:val="24"/>
          <w:szCs w:val="24"/>
        </w:rPr>
        <w:t>3)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строительства.</w:t>
      </w: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6BB9" w:rsidRPr="001B54D0" w:rsidRDefault="00BD6BB9" w:rsidP="001B54D0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C7064A" w:rsidRPr="001B54D0" w:rsidRDefault="00C7064A" w:rsidP="001B54D0">
      <w:pPr>
        <w:rPr>
          <w:rFonts w:ascii="Times New Roman" w:hAnsi="Times New Roman"/>
          <w:sz w:val="24"/>
          <w:szCs w:val="24"/>
        </w:rPr>
      </w:pPr>
    </w:p>
    <w:sectPr w:rsidR="00C7064A" w:rsidRPr="001B54D0" w:rsidSect="001B54D0">
      <w:footerReference w:type="default" r:id="rId90"/>
      <w:pgSz w:w="11906" w:h="16838"/>
      <w:pgMar w:top="709" w:right="850" w:bottom="1134" w:left="1701" w:header="708" w:footer="3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D9D" w:rsidRDefault="00522D9D" w:rsidP="001B54D0">
      <w:r>
        <w:separator/>
      </w:r>
    </w:p>
  </w:endnote>
  <w:endnote w:type="continuationSeparator" w:id="0">
    <w:p w:rsidR="00522D9D" w:rsidRDefault="00522D9D" w:rsidP="001B5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8822689"/>
      <w:docPartObj>
        <w:docPartGallery w:val="Page Numbers (Bottom of Page)"/>
        <w:docPartUnique/>
      </w:docPartObj>
    </w:sdtPr>
    <w:sdtContent>
      <w:p w:rsidR="001B54D0" w:rsidRDefault="001B54D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:rsidR="001B54D0" w:rsidRDefault="001B54D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D9D" w:rsidRDefault="00522D9D" w:rsidP="001B54D0">
      <w:r>
        <w:separator/>
      </w:r>
    </w:p>
  </w:footnote>
  <w:footnote w:type="continuationSeparator" w:id="0">
    <w:p w:rsidR="00522D9D" w:rsidRDefault="00522D9D" w:rsidP="001B54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BB9"/>
    <w:rsid w:val="001B54D0"/>
    <w:rsid w:val="00322116"/>
    <w:rsid w:val="00522D9D"/>
    <w:rsid w:val="00836E5E"/>
    <w:rsid w:val="00BD6BB9"/>
    <w:rsid w:val="00C7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116"/>
    <w:rPr>
      <w:rFonts w:ascii="Times New Roman CYR" w:hAnsi="Times New Roman CYR"/>
    </w:rPr>
  </w:style>
  <w:style w:type="paragraph" w:styleId="1">
    <w:name w:val="heading 1"/>
    <w:basedOn w:val="a"/>
    <w:next w:val="a"/>
    <w:link w:val="10"/>
    <w:qFormat/>
    <w:rsid w:val="00322116"/>
    <w:pPr>
      <w:keepNext/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322116"/>
    <w:pPr>
      <w:keepNext/>
      <w:spacing w:before="120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2116"/>
    <w:rPr>
      <w:rFonts w:ascii="Times New Roman CYR" w:hAnsi="Times New Roman CYR"/>
      <w:b/>
      <w:sz w:val="28"/>
    </w:rPr>
  </w:style>
  <w:style w:type="character" w:customStyle="1" w:styleId="40">
    <w:name w:val="Заголовок 4 Знак"/>
    <w:basedOn w:val="a0"/>
    <w:link w:val="4"/>
    <w:rsid w:val="00322116"/>
    <w:rPr>
      <w:rFonts w:ascii="Times New Roman CYR" w:hAnsi="Times New Roman CYR"/>
      <w:sz w:val="24"/>
    </w:rPr>
  </w:style>
  <w:style w:type="paragraph" w:styleId="a3">
    <w:name w:val="List Paragraph"/>
    <w:basedOn w:val="a"/>
    <w:uiPriority w:val="34"/>
    <w:qFormat/>
    <w:rsid w:val="00322116"/>
    <w:pPr>
      <w:ind w:left="720"/>
      <w:contextualSpacing/>
    </w:pPr>
  </w:style>
  <w:style w:type="paragraph" w:customStyle="1" w:styleId="ConsPlusNormal">
    <w:name w:val="ConsPlusNormal"/>
    <w:rsid w:val="00BD6BB9"/>
    <w:pPr>
      <w:widowControl w:val="0"/>
      <w:autoSpaceDE w:val="0"/>
      <w:autoSpaceDN w:val="0"/>
    </w:pPr>
    <w:rPr>
      <w:rFonts w:ascii="Times New Roman CYR" w:hAnsi="Times New Roman CYR" w:cs="Times New Roman CYR"/>
      <w:lang w:eastAsia="ru-RU"/>
    </w:rPr>
  </w:style>
  <w:style w:type="paragraph" w:customStyle="1" w:styleId="ConsPlusTitle">
    <w:name w:val="ConsPlusTitle"/>
    <w:rsid w:val="00BD6BB9"/>
    <w:pPr>
      <w:widowControl w:val="0"/>
      <w:autoSpaceDE w:val="0"/>
      <w:autoSpaceDN w:val="0"/>
    </w:pPr>
    <w:rPr>
      <w:rFonts w:ascii="Times New Roman CYR" w:hAnsi="Times New Roman CYR" w:cs="Times New Roman CYR"/>
      <w:b/>
      <w:lang w:eastAsia="ru-RU"/>
    </w:rPr>
  </w:style>
  <w:style w:type="paragraph" w:customStyle="1" w:styleId="ConsPlusTitlePage">
    <w:name w:val="ConsPlusTitlePage"/>
    <w:rsid w:val="00BD6BB9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styleId="a4">
    <w:name w:val="header"/>
    <w:basedOn w:val="a"/>
    <w:link w:val="a5"/>
    <w:uiPriority w:val="99"/>
    <w:unhideWhenUsed/>
    <w:rsid w:val="001B54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4D0"/>
    <w:rPr>
      <w:rFonts w:ascii="Times New Roman CYR" w:hAnsi="Times New Roman CYR"/>
    </w:rPr>
  </w:style>
  <w:style w:type="paragraph" w:styleId="a6">
    <w:name w:val="footer"/>
    <w:basedOn w:val="a"/>
    <w:link w:val="a7"/>
    <w:uiPriority w:val="99"/>
    <w:unhideWhenUsed/>
    <w:rsid w:val="001B54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4D0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116"/>
    <w:rPr>
      <w:rFonts w:ascii="Times New Roman CYR" w:hAnsi="Times New Roman CYR"/>
    </w:rPr>
  </w:style>
  <w:style w:type="paragraph" w:styleId="1">
    <w:name w:val="heading 1"/>
    <w:basedOn w:val="a"/>
    <w:next w:val="a"/>
    <w:link w:val="10"/>
    <w:qFormat/>
    <w:rsid w:val="00322116"/>
    <w:pPr>
      <w:keepNext/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322116"/>
    <w:pPr>
      <w:keepNext/>
      <w:spacing w:before="120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2116"/>
    <w:rPr>
      <w:rFonts w:ascii="Times New Roman CYR" w:hAnsi="Times New Roman CYR"/>
      <w:b/>
      <w:sz w:val="28"/>
    </w:rPr>
  </w:style>
  <w:style w:type="character" w:customStyle="1" w:styleId="40">
    <w:name w:val="Заголовок 4 Знак"/>
    <w:basedOn w:val="a0"/>
    <w:link w:val="4"/>
    <w:rsid w:val="00322116"/>
    <w:rPr>
      <w:rFonts w:ascii="Times New Roman CYR" w:hAnsi="Times New Roman CYR"/>
      <w:sz w:val="24"/>
    </w:rPr>
  </w:style>
  <w:style w:type="paragraph" w:styleId="a3">
    <w:name w:val="List Paragraph"/>
    <w:basedOn w:val="a"/>
    <w:uiPriority w:val="34"/>
    <w:qFormat/>
    <w:rsid w:val="00322116"/>
    <w:pPr>
      <w:ind w:left="720"/>
      <w:contextualSpacing/>
    </w:pPr>
  </w:style>
  <w:style w:type="paragraph" w:customStyle="1" w:styleId="ConsPlusNormal">
    <w:name w:val="ConsPlusNormal"/>
    <w:rsid w:val="00BD6BB9"/>
    <w:pPr>
      <w:widowControl w:val="0"/>
      <w:autoSpaceDE w:val="0"/>
      <w:autoSpaceDN w:val="0"/>
    </w:pPr>
    <w:rPr>
      <w:rFonts w:ascii="Times New Roman CYR" w:hAnsi="Times New Roman CYR" w:cs="Times New Roman CYR"/>
      <w:lang w:eastAsia="ru-RU"/>
    </w:rPr>
  </w:style>
  <w:style w:type="paragraph" w:customStyle="1" w:styleId="ConsPlusTitle">
    <w:name w:val="ConsPlusTitle"/>
    <w:rsid w:val="00BD6BB9"/>
    <w:pPr>
      <w:widowControl w:val="0"/>
      <w:autoSpaceDE w:val="0"/>
      <w:autoSpaceDN w:val="0"/>
    </w:pPr>
    <w:rPr>
      <w:rFonts w:ascii="Times New Roman CYR" w:hAnsi="Times New Roman CYR" w:cs="Times New Roman CYR"/>
      <w:b/>
      <w:lang w:eastAsia="ru-RU"/>
    </w:rPr>
  </w:style>
  <w:style w:type="paragraph" w:customStyle="1" w:styleId="ConsPlusTitlePage">
    <w:name w:val="ConsPlusTitlePage"/>
    <w:rsid w:val="00BD6BB9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styleId="a4">
    <w:name w:val="header"/>
    <w:basedOn w:val="a"/>
    <w:link w:val="a5"/>
    <w:uiPriority w:val="99"/>
    <w:unhideWhenUsed/>
    <w:rsid w:val="001B54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4D0"/>
    <w:rPr>
      <w:rFonts w:ascii="Times New Roman CYR" w:hAnsi="Times New Roman CYR"/>
    </w:rPr>
  </w:style>
  <w:style w:type="paragraph" w:styleId="a6">
    <w:name w:val="footer"/>
    <w:basedOn w:val="a"/>
    <w:link w:val="a7"/>
    <w:uiPriority w:val="99"/>
    <w:unhideWhenUsed/>
    <w:rsid w:val="001B54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4D0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43684&amp;dst=100230" TargetMode="External"/><Relationship Id="rId21" Type="http://schemas.openxmlformats.org/officeDocument/2006/relationships/hyperlink" Target="https://login.consultant.ru/link/?req=doc&amp;base=LAW&amp;n=541082&amp;dst=100731" TargetMode="External"/><Relationship Id="rId42" Type="http://schemas.openxmlformats.org/officeDocument/2006/relationships/hyperlink" Target="https://login.consultant.ru/link/?req=doc&amp;base=LAW&amp;n=543684&amp;dst=100476" TargetMode="External"/><Relationship Id="rId47" Type="http://schemas.openxmlformats.org/officeDocument/2006/relationships/hyperlink" Target="https://login.consultant.ru/link/?req=doc&amp;base=RLAW091&amp;n=197061&amp;dst=100041" TargetMode="External"/><Relationship Id="rId63" Type="http://schemas.openxmlformats.org/officeDocument/2006/relationships/hyperlink" Target="https://login.consultant.ru/link/?req=doc&amp;base=RLAW091&amp;n=197061&amp;dst=100046" TargetMode="External"/><Relationship Id="rId68" Type="http://schemas.openxmlformats.org/officeDocument/2006/relationships/hyperlink" Target="https://login.consultant.ru/link/?req=doc&amp;base=LAW&amp;n=541082&amp;dst=100512" TargetMode="External"/><Relationship Id="rId84" Type="http://schemas.openxmlformats.org/officeDocument/2006/relationships/hyperlink" Target="https://login.consultant.ru/link/?req=doc&amp;base=LAW&amp;n=527765&amp;dst=1594" TargetMode="External"/><Relationship Id="rId89" Type="http://schemas.openxmlformats.org/officeDocument/2006/relationships/hyperlink" Target="https://login.consultant.ru/link/?req=doc&amp;base=RLAW091&amp;n=162719&amp;dst=100018" TargetMode="External"/><Relationship Id="rId16" Type="http://schemas.openxmlformats.org/officeDocument/2006/relationships/hyperlink" Target="https://login.consultant.ru/link/?req=doc&amp;base=RLAW091&amp;n=197061&amp;dst=100007" TargetMode="External"/><Relationship Id="rId11" Type="http://schemas.openxmlformats.org/officeDocument/2006/relationships/hyperlink" Target="https://login.consultant.ru/link/?req=doc&amp;base=LAW&amp;n=541082&amp;dst=100088" TargetMode="External"/><Relationship Id="rId32" Type="http://schemas.openxmlformats.org/officeDocument/2006/relationships/hyperlink" Target="https://login.consultant.ru/link/?req=doc&amp;base=LAW&amp;n=543684&amp;dst=100338" TargetMode="External"/><Relationship Id="rId37" Type="http://schemas.openxmlformats.org/officeDocument/2006/relationships/hyperlink" Target="https://login.consultant.ru/link/?req=doc&amp;base=LAW&amp;n=543684&amp;dst=100296" TargetMode="External"/><Relationship Id="rId53" Type="http://schemas.openxmlformats.org/officeDocument/2006/relationships/hyperlink" Target="https://login.consultant.ru/link/?req=doc&amp;base=LAW&amp;n=541082&amp;dst=101127" TargetMode="External"/><Relationship Id="rId58" Type="http://schemas.openxmlformats.org/officeDocument/2006/relationships/hyperlink" Target="https://login.consultant.ru/link/?req=doc&amp;base=LAW&amp;n=541082&amp;dst=100708" TargetMode="External"/><Relationship Id="rId74" Type="http://schemas.openxmlformats.org/officeDocument/2006/relationships/hyperlink" Target="https://login.consultant.ru/link/?req=doc&amp;base=LAW&amp;n=541082&amp;dst=100996" TargetMode="External"/><Relationship Id="rId79" Type="http://schemas.openxmlformats.org/officeDocument/2006/relationships/hyperlink" Target="https://login.consultant.ru/link/?req=doc&amp;base=LAW&amp;n=541082&amp;dst=101392" TargetMode="External"/><Relationship Id="rId5" Type="http://schemas.openxmlformats.org/officeDocument/2006/relationships/footnotes" Target="footnotes.xml"/><Relationship Id="rId90" Type="http://schemas.openxmlformats.org/officeDocument/2006/relationships/footer" Target="footer1.xml"/><Relationship Id="rId14" Type="http://schemas.openxmlformats.org/officeDocument/2006/relationships/hyperlink" Target="https://login.consultant.ru/link/?req=doc&amp;base=RLAW091&amp;n=162719&amp;dst=100007" TargetMode="External"/><Relationship Id="rId22" Type="http://schemas.openxmlformats.org/officeDocument/2006/relationships/hyperlink" Target="https://login.consultant.ru/link/?req=doc&amp;base=LAW&amp;n=543684&amp;dst=100010" TargetMode="External"/><Relationship Id="rId27" Type="http://schemas.openxmlformats.org/officeDocument/2006/relationships/hyperlink" Target="https://login.consultant.ru/link/?req=doc&amp;base=LAW&amp;n=543684&amp;dst=100233" TargetMode="External"/><Relationship Id="rId30" Type="http://schemas.openxmlformats.org/officeDocument/2006/relationships/hyperlink" Target="https://login.consultant.ru/link/?req=doc&amp;base=LAW&amp;n=543684&amp;dst=100329" TargetMode="External"/><Relationship Id="rId35" Type="http://schemas.openxmlformats.org/officeDocument/2006/relationships/hyperlink" Target="https://login.consultant.ru/link/?req=doc&amp;base=LAW&amp;n=543684&amp;dst=100476" TargetMode="External"/><Relationship Id="rId43" Type="http://schemas.openxmlformats.org/officeDocument/2006/relationships/hyperlink" Target="https://login.consultant.ru/link/?req=doc&amp;base=RLAW091&amp;n=197061&amp;dst=100008" TargetMode="External"/><Relationship Id="rId48" Type="http://schemas.openxmlformats.org/officeDocument/2006/relationships/hyperlink" Target="https://login.consultant.ru/link/?req=doc&amp;base=LAW&amp;n=541082&amp;dst=101267" TargetMode="External"/><Relationship Id="rId56" Type="http://schemas.openxmlformats.org/officeDocument/2006/relationships/hyperlink" Target="https://login.consultant.ru/link/?req=doc&amp;base=LAW&amp;n=507514" TargetMode="External"/><Relationship Id="rId64" Type="http://schemas.openxmlformats.org/officeDocument/2006/relationships/hyperlink" Target="https://login.consultant.ru/link/?req=doc&amp;base=LAW&amp;n=541082" TargetMode="External"/><Relationship Id="rId69" Type="http://schemas.openxmlformats.org/officeDocument/2006/relationships/hyperlink" Target="https://login.consultant.ru/link/?req=doc&amp;base=RLAW091&amp;n=208648&amp;dst=100013" TargetMode="External"/><Relationship Id="rId77" Type="http://schemas.openxmlformats.org/officeDocument/2006/relationships/hyperlink" Target="https://login.consultant.ru/link/?req=doc&amp;base=LAW&amp;n=541082&amp;dst=101482" TargetMode="External"/><Relationship Id="rId8" Type="http://schemas.openxmlformats.org/officeDocument/2006/relationships/hyperlink" Target="https://login.consultant.ru/link/?req=doc&amp;base=RLAW091&amp;n=184808&amp;dst=100006" TargetMode="External"/><Relationship Id="rId51" Type="http://schemas.openxmlformats.org/officeDocument/2006/relationships/hyperlink" Target="https://login.consultant.ru/link/?req=doc&amp;base=LAW&amp;n=507514" TargetMode="External"/><Relationship Id="rId72" Type="http://schemas.openxmlformats.org/officeDocument/2006/relationships/hyperlink" Target="https://login.consultant.ru/link/?req=doc&amp;base=LAW&amp;n=541082&amp;dst=101366" TargetMode="External"/><Relationship Id="rId80" Type="http://schemas.openxmlformats.org/officeDocument/2006/relationships/hyperlink" Target="https://login.consultant.ru/link/?req=doc&amp;base=LAW&amp;n=541082" TargetMode="External"/><Relationship Id="rId85" Type="http://schemas.openxmlformats.org/officeDocument/2006/relationships/hyperlink" Target="https://login.consultant.ru/link/?req=doc&amp;base=LAW&amp;n=52760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uma-seversk.ru" TargetMode="External"/><Relationship Id="rId17" Type="http://schemas.openxmlformats.org/officeDocument/2006/relationships/hyperlink" Target="https://login.consultant.ru/link/?req=doc&amp;base=RLAW091&amp;n=208648&amp;dst=100007" TargetMode="External"/><Relationship Id="rId25" Type="http://schemas.openxmlformats.org/officeDocument/2006/relationships/hyperlink" Target="https://login.consultant.ru/link/?req=doc&amp;base=LAW&amp;n=543684&amp;dst=100224" TargetMode="External"/><Relationship Id="rId33" Type="http://schemas.openxmlformats.org/officeDocument/2006/relationships/hyperlink" Target="https://login.consultant.ru/link/?req=doc&amp;base=LAW&amp;n=543684&amp;dst=100347" TargetMode="External"/><Relationship Id="rId38" Type="http://schemas.openxmlformats.org/officeDocument/2006/relationships/hyperlink" Target="https://login.consultant.ru/link/?req=doc&amp;base=LAW&amp;n=543684&amp;dst=100413" TargetMode="External"/><Relationship Id="rId46" Type="http://schemas.openxmlformats.org/officeDocument/2006/relationships/hyperlink" Target="https://login.consultant.ru/link/?req=doc&amp;base=LAW&amp;n=541082&amp;dst=101415" TargetMode="External"/><Relationship Id="rId59" Type="http://schemas.openxmlformats.org/officeDocument/2006/relationships/hyperlink" Target="https://login.consultant.ru/link/?req=doc&amp;base=LAW&amp;n=541082&amp;dst=100710" TargetMode="External"/><Relationship Id="rId67" Type="http://schemas.openxmlformats.org/officeDocument/2006/relationships/hyperlink" Target="https://login.consultant.ru/link/?req=doc&amp;base=RLAW091&amp;n=208648&amp;dst=100011" TargetMode="External"/><Relationship Id="rId20" Type="http://schemas.openxmlformats.org/officeDocument/2006/relationships/hyperlink" Target="https://login.consultant.ru/link/?req=doc&amp;base=LAW&amp;n=541082&amp;dst=100666" TargetMode="External"/><Relationship Id="rId41" Type="http://schemas.openxmlformats.org/officeDocument/2006/relationships/hyperlink" Target="https://login.consultant.ru/link/?req=doc&amp;base=LAW&amp;n=543684&amp;dst=100452" TargetMode="External"/><Relationship Id="rId54" Type="http://schemas.openxmlformats.org/officeDocument/2006/relationships/hyperlink" Target="https://login.consultant.ru/link/?req=doc&amp;base=LAW&amp;n=541082&amp;dst=101133" TargetMode="External"/><Relationship Id="rId62" Type="http://schemas.openxmlformats.org/officeDocument/2006/relationships/hyperlink" Target="https://login.consultant.ru/link/?req=doc&amp;base=LAW&amp;n=541082&amp;dst=100996" TargetMode="External"/><Relationship Id="rId70" Type="http://schemas.openxmlformats.org/officeDocument/2006/relationships/hyperlink" Target="https://login.consultant.ru/link/?req=doc&amp;base=LAW&amp;n=494960" TargetMode="External"/><Relationship Id="rId75" Type="http://schemas.openxmlformats.org/officeDocument/2006/relationships/hyperlink" Target="https://login.consultant.ru/link/?req=doc&amp;base=LAW&amp;n=541082&amp;dst=100987" TargetMode="External"/><Relationship Id="rId83" Type="http://schemas.openxmlformats.org/officeDocument/2006/relationships/hyperlink" Target="https://login.consultant.ru/link/?req=doc&amp;base=LAW&amp;n=527765&amp;dst=100391" TargetMode="External"/><Relationship Id="rId88" Type="http://schemas.openxmlformats.org/officeDocument/2006/relationships/hyperlink" Target="https://login.consultant.ru/link/?req=doc&amp;base=RLAW091&amp;n=162719&amp;dst=100008" TargetMode="Externa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091&amp;n=184808&amp;dst=100006" TargetMode="External"/><Relationship Id="rId23" Type="http://schemas.openxmlformats.org/officeDocument/2006/relationships/hyperlink" Target="https://login.consultant.ru/link/?req=doc&amp;base=LAW&amp;n=543684&amp;dst=100017" TargetMode="External"/><Relationship Id="rId28" Type="http://schemas.openxmlformats.org/officeDocument/2006/relationships/hyperlink" Target="https://login.consultant.ru/link/?req=doc&amp;base=LAW&amp;n=543684&amp;dst=100251" TargetMode="External"/><Relationship Id="rId36" Type="http://schemas.openxmlformats.org/officeDocument/2006/relationships/hyperlink" Target="https://login.consultant.ru/link/?req=doc&amp;base=LAW&amp;n=543684&amp;dst=100017" TargetMode="External"/><Relationship Id="rId49" Type="http://schemas.openxmlformats.org/officeDocument/2006/relationships/hyperlink" Target="https://login.consultant.ru/link/?req=doc&amp;base=RLAW091&amp;n=197061&amp;dst=100043" TargetMode="External"/><Relationship Id="rId57" Type="http://schemas.openxmlformats.org/officeDocument/2006/relationships/hyperlink" Target="https://login.consultant.ru/link/?req=doc&amp;base=LAW&amp;n=541082&amp;dst=101259" TargetMode="External"/><Relationship Id="rId10" Type="http://schemas.openxmlformats.org/officeDocument/2006/relationships/hyperlink" Target="https://login.consultant.ru/link/?req=doc&amp;base=RLAW091&amp;n=208648&amp;dst=100006" TargetMode="External"/><Relationship Id="rId31" Type="http://schemas.openxmlformats.org/officeDocument/2006/relationships/hyperlink" Target="https://login.consultant.ru/link/?req=doc&amp;base=LAW&amp;n=543684&amp;dst=100335" TargetMode="External"/><Relationship Id="rId44" Type="http://schemas.openxmlformats.org/officeDocument/2006/relationships/hyperlink" Target="https://login.consultant.ru/link/?req=doc&amp;base=LAW&amp;n=541082&amp;dst=100639" TargetMode="External"/><Relationship Id="rId52" Type="http://schemas.openxmlformats.org/officeDocument/2006/relationships/hyperlink" Target="https://login.consultant.ru/link/?req=doc&amp;base=LAW&amp;n=541082" TargetMode="External"/><Relationship Id="rId60" Type="http://schemas.openxmlformats.org/officeDocument/2006/relationships/hyperlink" Target="https://login.consultant.ru/link/?req=doc&amp;base=LAW&amp;n=541082&amp;dst=100711" TargetMode="External"/><Relationship Id="rId65" Type="http://schemas.openxmlformats.org/officeDocument/2006/relationships/hyperlink" Target="https://login.consultant.ru/link/?req=doc&amp;base=LAW&amp;n=494960" TargetMode="External"/><Relationship Id="rId73" Type="http://schemas.openxmlformats.org/officeDocument/2006/relationships/hyperlink" Target="https://login.consultant.ru/link/?req=doc&amp;base=LAW&amp;n=541082&amp;dst=101128" TargetMode="External"/><Relationship Id="rId78" Type="http://schemas.openxmlformats.org/officeDocument/2006/relationships/hyperlink" Target="https://login.consultant.ru/link/?req=doc&amp;base=RLAW091&amp;n=208648&amp;dst=100019" TargetMode="External"/><Relationship Id="rId81" Type="http://schemas.openxmlformats.org/officeDocument/2006/relationships/hyperlink" Target="https://login.consultant.ru/link/?req=doc&amp;base=RLAW091&amp;n=208648&amp;dst=100029" TargetMode="External"/><Relationship Id="rId86" Type="http://schemas.openxmlformats.org/officeDocument/2006/relationships/hyperlink" Target="https://login.consultant.ru/link/?req=doc&amp;base=LAW&amp;n=527765&amp;dst=159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1&amp;n=197061&amp;dst=100006" TargetMode="External"/><Relationship Id="rId13" Type="http://schemas.openxmlformats.org/officeDocument/2006/relationships/hyperlink" Target="https://&#1079;&#1072;&#1090;&#1086;-&#1089;&#1077;&#1074;&#1077;&#1088;&#1089;&#1082;.&#1088;&#1092;" TargetMode="External"/><Relationship Id="rId18" Type="http://schemas.openxmlformats.org/officeDocument/2006/relationships/hyperlink" Target="https://login.consultant.ru/link/?req=doc&amp;base=LAW&amp;n=541082&amp;dst=100161" TargetMode="External"/><Relationship Id="rId39" Type="http://schemas.openxmlformats.org/officeDocument/2006/relationships/hyperlink" Target="https://login.consultant.ru/link/?req=doc&amp;base=LAW&amp;n=543684&amp;dst=100422" TargetMode="External"/><Relationship Id="rId34" Type="http://schemas.openxmlformats.org/officeDocument/2006/relationships/hyperlink" Target="https://login.consultant.ru/link/?req=doc&amp;base=LAW&amp;n=543684&amp;dst=100374" TargetMode="External"/><Relationship Id="rId50" Type="http://schemas.openxmlformats.org/officeDocument/2006/relationships/hyperlink" Target="https://login.consultant.ru/link/?req=doc&amp;base=RLAW091&amp;n=197061&amp;dst=100045" TargetMode="External"/><Relationship Id="rId55" Type="http://schemas.openxmlformats.org/officeDocument/2006/relationships/hyperlink" Target="https://login.consultant.ru/link/?req=doc&amp;base=LAW&amp;n=541082" TargetMode="External"/><Relationship Id="rId76" Type="http://schemas.openxmlformats.org/officeDocument/2006/relationships/hyperlink" Target="https://login.consultant.ru/link/?req=doc&amp;base=LAW&amp;n=541082&amp;dst=101185" TargetMode="External"/><Relationship Id="rId7" Type="http://schemas.openxmlformats.org/officeDocument/2006/relationships/hyperlink" Target="https://login.consultant.ru/link/?req=doc&amp;base=RLAW091&amp;n=162719&amp;dst=100006" TargetMode="External"/><Relationship Id="rId71" Type="http://schemas.openxmlformats.org/officeDocument/2006/relationships/hyperlink" Target="https://login.consultant.ru/link/?req=doc&amp;base=RLAW091&amp;n=208648&amp;dst=100015" TargetMode="External"/><Relationship Id="rId92" Type="http://schemas.openxmlformats.org/officeDocument/2006/relationships/theme" Target="theme/theme1.xm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543684&amp;dst=100317" TargetMode="External"/><Relationship Id="rId24" Type="http://schemas.openxmlformats.org/officeDocument/2006/relationships/hyperlink" Target="https://login.consultant.ru/link/?req=doc&amp;base=LAW&amp;n=543684&amp;dst=100218" TargetMode="External"/><Relationship Id="rId40" Type="http://schemas.openxmlformats.org/officeDocument/2006/relationships/hyperlink" Target="https://login.consultant.ru/link/?req=doc&amp;base=LAW&amp;n=543684&amp;dst=100446" TargetMode="External"/><Relationship Id="rId45" Type="http://schemas.openxmlformats.org/officeDocument/2006/relationships/hyperlink" Target="https://login.consultant.ru/link/?req=doc&amp;base=LAW&amp;n=541082" TargetMode="External"/><Relationship Id="rId66" Type="http://schemas.openxmlformats.org/officeDocument/2006/relationships/hyperlink" Target="https://login.consultant.ru/link/?req=doc&amp;base=RLAW091&amp;n=208648&amp;dst=100008" TargetMode="External"/><Relationship Id="rId87" Type="http://schemas.openxmlformats.org/officeDocument/2006/relationships/hyperlink" Target="https://login.consultant.ru/link/?req=doc&amp;base=LAW&amp;n=536617&amp;dst=242" TargetMode="External"/><Relationship Id="rId61" Type="http://schemas.openxmlformats.org/officeDocument/2006/relationships/hyperlink" Target="https://login.consultant.ru/link/?req=doc&amp;base=LAW&amp;n=541082&amp;dst=100225" TargetMode="External"/><Relationship Id="rId82" Type="http://schemas.openxmlformats.org/officeDocument/2006/relationships/hyperlink" Target="https://login.consultant.ru/link/?req=doc&amp;base=LAW&amp;n=527765&amp;dst=100062" TargetMode="External"/><Relationship Id="rId19" Type="http://schemas.openxmlformats.org/officeDocument/2006/relationships/hyperlink" Target="https://login.consultant.ru/link/?req=doc&amp;base=LAW&amp;n=5404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7261</Words>
  <Characters>41388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V. Kuznetzova</dc:creator>
  <cp:lastModifiedBy>Olga V. Kuznetzova</cp:lastModifiedBy>
  <cp:revision>2</cp:revision>
  <dcterms:created xsi:type="dcterms:W3CDTF">2026-09-21T02:49:00Z</dcterms:created>
  <dcterms:modified xsi:type="dcterms:W3CDTF">2026-09-21T02:51:00Z</dcterms:modified>
</cp:coreProperties>
</file>