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81" w:rsidRDefault="003C6B81" w:rsidP="00F34013">
      <w:pPr>
        <w:spacing w:before="100" w:beforeAutospacing="1" w:after="100" w:afterAutospacing="1" w:line="240" w:lineRule="auto"/>
        <w:ind w:firstLine="567"/>
        <w:jc w:val="both"/>
      </w:pPr>
      <w:bookmarkStart w:id="0" w:name="_GoBack"/>
      <w:bookmarkEnd w:id="0"/>
      <w:r>
        <w:t xml:space="preserve">С 1 марта 2022 года вступили в силу изменения в Градостроительный </w:t>
      </w:r>
      <w:r w:rsidR="00F9093D">
        <w:br/>
      </w:r>
      <w:r>
        <w:t xml:space="preserve">и Жилищный кодексы Российской Федерации, появилось определение двух категорий жилья –многоквартирный дом и дом блокированной застройки. </w:t>
      </w:r>
    </w:p>
    <w:p w:rsidR="000719F1" w:rsidRDefault="003C6B81" w:rsidP="00A13B00">
      <w:pPr>
        <w:spacing w:after="0" w:line="240" w:lineRule="auto"/>
        <w:ind w:firstLine="567"/>
        <w:jc w:val="both"/>
      </w:pPr>
      <w:r w:rsidRPr="00F34013">
        <w:t xml:space="preserve">Учитывая положения частей 3, 4 статьи 16 </w:t>
      </w:r>
      <w:r w:rsidR="007D3D1B" w:rsidRPr="00F34013">
        <w:t>Федерального закона</w:t>
      </w:r>
      <w:r w:rsidR="00E155E0" w:rsidRPr="00F34013">
        <w:t xml:space="preserve"> </w:t>
      </w:r>
      <w:r w:rsidR="00397D73">
        <w:br/>
      </w:r>
      <w:r w:rsidR="00E155E0" w:rsidRPr="00F34013">
        <w:t>от 30.12.2021 № 476-ФЗ «О внесении изменений в отдельные законодательные акты Российской Федерации»</w:t>
      </w:r>
      <w:r w:rsidRPr="00F34013">
        <w:t xml:space="preserve">, </w:t>
      </w:r>
      <w:r w:rsidR="000D09E2">
        <w:t>учет изменен</w:t>
      </w:r>
      <w:r w:rsidR="00F9093D">
        <w:t>ий</w:t>
      </w:r>
      <w:r w:rsidR="000D09E2">
        <w:t xml:space="preserve"> сведений в </w:t>
      </w:r>
      <w:r w:rsidR="00F9093D">
        <w:t>Едином государственном реестре недвижимости (</w:t>
      </w:r>
      <w:r w:rsidR="000D09E2">
        <w:t>ЕГРН</w:t>
      </w:r>
      <w:r w:rsidR="00F9093D">
        <w:t>)</w:t>
      </w:r>
      <w:r w:rsidR="000D09E2">
        <w:t xml:space="preserve">, в части </w:t>
      </w:r>
      <w:r w:rsidR="0021362D" w:rsidRPr="0021362D">
        <w:t>приведения вида, назначения и вида разрешенного использования объекта недвижимости</w:t>
      </w:r>
      <w:r w:rsidR="000D09E2">
        <w:t xml:space="preserve"> возможно если</w:t>
      </w:r>
      <w:r w:rsidR="000719F1">
        <w:t xml:space="preserve">: </w:t>
      </w:r>
    </w:p>
    <w:p w:rsidR="000D09E2" w:rsidRDefault="000D09E2" w:rsidP="00A13B00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 xml:space="preserve">Сведения о здании с назначением – «многоквартирный дом» </w:t>
      </w:r>
      <w:r w:rsidR="00397D73">
        <w:br/>
      </w:r>
      <w:r>
        <w:t xml:space="preserve">с расположенными в нем жилыми помещениями (квартирами) </w:t>
      </w:r>
      <w:r w:rsidR="006C772D">
        <w:t>внесены в ЕРГН до 01.03.2022 года;</w:t>
      </w:r>
    </w:p>
    <w:p w:rsidR="006C772D" w:rsidRDefault="006C772D" w:rsidP="00A13B00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 xml:space="preserve">Такой дом и объекты недвижимости, учтенные в ЕГРН как жилые помещения (квартиры), </w:t>
      </w:r>
      <w:r w:rsidR="009D7D96">
        <w:t xml:space="preserve">соответствуют признакам </w:t>
      </w:r>
      <w:r w:rsidR="009D7D96" w:rsidRPr="00F34013">
        <w:t>дома блокированной застройки</w:t>
      </w:r>
      <w:r w:rsidR="009D7D96">
        <w:t xml:space="preserve">, указанным в пункте 40 статьи </w:t>
      </w:r>
      <w:r w:rsidR="009D7D96" w:rsidRPr="00F34013">
        <w:t>1 Градостроительного Кодекса РФ</w:t>
      </w:r>
      <w:r w:rsidR="009D7D96">
        <w:t xml:space="preserve"> </w:t>
      </w:r>
      <w:r w:rsidR="00D65E83">
        <w:br/>
      </w:r>
      <w:r w:rsidR="009D7D96">
        <w:t xml:space="preserve">(а именно, дом блокированной застройки – жилой дом, блокированный </w:t>
      </w:r>
      <w:r w:rsidR="00397D73">
        <w:br/>
      </w:r>
      <w:r w:rsidR="009D7D96">
        <w:t>с другим жилым домом (другими жилыми домами) в одном ряду общей боковой стеной</w:t>
      </w:r>
      <w:r w:rsidR="000719F1">
        <w:t xml:space="preserve"> (общими боковыми стенами) без проёмов и имеющий отдельный выход на земельный участок);</w:t>
      </w:r>
    </w:p>
    <w:p w:rsidR="000719F1" w:rsidRDefault="000719F1" w:rsidP="000719F1">
      <w:pPr>
        <w:pStyle w:val="a7"/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</w:pPr>
      <w:r>
        <w:t>Права на жилые помещения (квартиры) зарегистрированы в ЕГРН.</w:t>
      </w:r>
    </w:p>
    <w:p w:rsidR="00534E8C" w:rsidRPr="007A34AD" w:rsidRDefault="00534E8C" w:rsidP="007A34AD">
      <w:pPr>
        <w:spacing w:before="100" w:beforeAutospacing="1" w:after="100" w:afterAutospacing="1" w:line="240" w:lineRule="auto"/>
        <w:rPr>
          <w:i/>
          <w:sz w:val="20"/>
          <w:szCs w:val="20"/>
        </w:rPr>
      </w:pPr>
      <w:r w:rsidRPr="007A34AD">
        <w:rPr>
          <w:i/>
          <w:sz w:val="20"/>
          <w:szCs w:val="20"/>
        </w:rPr>
        <w:t xml:space="preserve">Если собственник располагает правоустанавливающими </w:t>
      </w:r>
      <w:r w:rsidR="007A1D7D" w:rsidRPr="007A34AD">
        <w:rPr>
          <w:i/>
          <w:sz w:val="20"/>
          <w:szCs w:val="20"/>
        </w:rPr>
        <w:t>документами, выданными</w:t>
      </w:r>
      <w:r w:rsidR="007A34AD">
        <w:rPr>
          <w:i/>
          <w:sz w:val="20"/>
          <w:szCs w:val="20"/>
        </w:rPr>
        <w:t xml:space="preserve"> БТИ</w:t>
      </w:r>
      <w:r w:rsidR="007A1D7D" w:rsidRPr="007A34AD">
        <w:rPr>
          <w:i/>
          <w:sz w:val="20"/>
          <w:szCs w:val="20"/>
        </w:rPr>
        <w:t xml:space="preserve"> </w:t>
      </w:r>
      <w:r w:rsidR="007A1D7D" w:rsidRPr="007A34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 03.09.1998 года</w:t>
      </w:r>
      <w:r w:rsidR="007A34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7A1D7D" w:rsidRPr="007A34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необходимо сначала </w:t>
      </w:r>
      <w:r w:rsidRPr="007A34AD">
        <w:rPr>
          <w:i/>
          <w:sz w:val="20"/>
          <w:szCs w:val="20"/>
        </w:rPr>
        <w:t xml:space="preserve">зарегистрировать </w:t>
      </w:r>
      <w:r w:rsidR="007A1D7D" w:rsidRPr="007A34AD">
        <w:rPr>
          <w:i/>
          <w:sz w:val="20"/>
          <w:szCs w:val="20"/>
        </w:rPr>
        <w:t xml:space="preserve">данные объекты недвижимости в ЕГРН. </w:t>
      </w:r>
      <w:r w:rsidR="007A34AD" w:rsidRPr="007A34AD">
        <w:rPr>
          <w:i/>
          <w:sz w:val="20"/>
          <w:szCs w:val="20"/>
        </w:rPr>
        <w:t>Данная услуга бесплатна.</w:t>
      </w:r>
    </w:p>
    <w:p w:rsidR="000719F1" w:rsidRDefault="000719F1" w:rsidP="000719F1">
      <w:pPr>
        <w:spacing w:before="100" w:beforeAutospacing="1" w:after="100" w:afterAutospacing="1" w:line="240" w:lineRule="auto"/>
        <w:ind w:firstLine="567"/>
        <w:jc w:val="both"/>
      </w:pPr>
      <w:r>
        <w:t xml:space="preserve">При соблюдении данных условий </w:t>
      </w:r>
      <w:r w:rsidR="004A6AD6" w:rsidRPr="004A6AD6">
        <w:rPr>
          <w:b/>
        </w:rPr>
        <w:t>совместно</w:t>
      </w:r>
      <w:r w:rsidR="004A6AD6">
        <w:t xml:space="preserve"> </w:t>
      </w:r>
      <w:r w:rsidR="001A1EBA" w:rsidRPr="00BB6DB8">
        <w:rPr>
          <w:b/>
        </w:rPr>
        <w:t xml:space="preserve">все </w:t>
      </w:r>
      <w:r w:rsidRPr="00BB6DB8">
        <w:rPr>
          <w:b/>
        </w:rPr>
        <w:t>собственники жилых помещений</w:t>
      </w:r>
      <w:r>
        <w:t xml:space="preserve"> </w:t>
      </w:r>
      <w:r w:rsidRPr="00154B5B">
        <w:rPr>
          <w:b/>
        </w:rPr>
        <w:t>(квартир)</w:t>
      </w:r>
      <w:r>
        <w:t xml:space="preserve"> </w:t>
      </w:r>
      <w:r w:rsidRPr="00F34013">
        <w:t xml:space="preserve">вправе </w:t>
      </w:r>
      <w:r w:rsidR="001A1EBA">
        <w:t>обратиться</w:t>
      </w:r>
      <w:r w:rsidRPr="00F34013">
        <w:t xml:space="preserve"> в орга</w:t>
      </w:r>
      <w:r w:rsidR="00D65E83">
        <w:t>н регистрации прав</w:t>
      </w:r>
      <w:r w:rsidR="001A1EBA">
        <w:t xml:space="preserve"> </w:t>
      </w:r>
      <w:r w:rsidR="00397D73">
        <w:br/>
      </w:r>
      <w:r w:rsidR="001A1EBA">
        <w:t xml:space="preserve">с </w:t>
      </w:r>
      <w:r w:rsidR="00BB6DB8">
        <w:t>заявлением</w:t>
      </w:r>
      <w:r w:rsidRPr="00F34013">
        <w:t xml:space="preserve"> об учете изменений сведений </w:t>
      </w:r>
      <w:r w:rsidR="00B67A7E">
        <w:t xml:space="preserve">в </w:t>
      </w:r>
      <w:r w:rsidRPr="00F34013">
        <w:t xml:space="preserve">ЕГРН в части приведения вида, назначения и вида разрешенного использования таких домов в соответствие </w:t>
      </w:r>
      <w:r w:rsidR="00397D73">
        <w:br/>
      </w:r>
      <w:r w:rsidRPr="00F34013">
        <w:t>с требованиями законодатель</w:t>
      </w:r>
      <w:r w:rsidR="00BD49EE">
        <w:t>ства</w:t>
      </w:r>
      <w:r>
        <w:t xml:space="preserve"> Российской Федерации</w:t>
      </w:r>
      <w:r w:rsidRPr="00F34013">
        <w:t>, а именно, об учете изменений сведений о виде – «помещение», назначении – «жилое», виде жилого помещения – «квартира», на вид – «здание», назначение – «жилой дом», вид разрешенного использования – «дом блокированной застройки».</w:t>
      </w:r>
    </w:p>
    <w:p w:rsidR="001A1EBA" w:rsidRPr="007A34AD" w:rsidRDefault="001A1EBA" w:rsidP="007A34AD">
      <w:pPr>
        <w:spacing w:before="100" w:beforeAutospacing="1" w:after="100" w:afterAutospacing="1" w:line="240" w:lineRule="auto"/>
        <w:jc w:val="both"/>
        <w:rPr>
          <w:i/>
          <w:sz w:val="20"/>
          <w:szCs w:val="20"/>
        </w:rPr>
      </w:pPr>
      <w:r w:rsidRPr="007A34AD">
        <w:rPr>
          <w:i/>
          <w:sz w:val="20"/>
          <w:szCs w:val="20"/>
        </w:rPr>
        <w:t xml:space="preserve">Также совместным решением можно уполномочить одного из собственников, на обращение от имени всех собственников дома в орган регистрации прав, но потребуется оформление нотариальной доверенности. </w:t>
      </w:r>
    </w:p>
    <w:p w:rsidR="000719F1" w:rsidRPr="00F34013" w:rsidRDefault="000719F1" w:rsidP="000719F1">
      <w:pPr>
        <w:pStyle w:val="a3"/>
        <w:ind w:firstLine="567"/>
        <w:jc w:val="both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Заявление об учете изменений сведений </w:t>
      </w:r>
      <w:r w:rsidR="00D65E8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в </w:t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ЕГРН 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>может быть предоставлено путём личного обращения в любой офис многофункционального</w:t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центр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>а</w:t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по предоставлению государственных </w:t>
      </w:r>
      <w:r w:rsidR="00397D73">
        <w:rPr>
          <w:rFonts w:ascii="PT Astra Serif" w:eastAsiaTheme="minorHAnsi" w:hAnsi="PT Astra Serif" w:cstheme="minorBidi"/>
          <w:sz w:val="28"/>
          <w:szCs w:val="22"/>
          <w:lang w:eastAsia="en-US"/>
        </w:rPr>
        <w:br/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>и муниципальных услу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г (МФЦ) независимо от места нахождения объекта недвижимости, также заявление можно предоставить в форме электронного документа через личный кабинет на официальном сайте Росреестра </w:t>
      </w:r>
      <w:r w:rsidR="00D65E83">
        <w:rPr>
          <w:rFonts w:ascii="PT Astra Serif" w:eastAsiaTheme="minorHAnsi" w:hAnsi="PT Astra Serif" w:cstheme="minorBidi"/>
          <w:sz w:val="28"/>
          <w:szCs w:val="22"/>
          <w:lang w:eastAsia="en-US"/>
        </w:rPr>
        <w:t>(</w:t>
      </w:r>
      <w:hyperlink r:id="rId6" w:history="1">
        <w:r w:rsidR="00D65E83" w:rsidRPr="007626BA">
          <w:rPr>
            <w:rStyle w:val="a5"/>
            <w:rFonts w:ascii="PT Astra Serif" w:eastAsiaTheme="minorHAnsi" w:hAnsi="PT Astra Serif" w:cstheme="minorBidi"/>
            <w:sz w:val="28"/>
            <w:szCs w:val="22"/>
            <w:lang w:eastAsia="en-US"/>
          </w:rPr>
          <w:t>https://rosreestr.gov.ru/</w:t>
        </w:r>
      </w:hyperlink>
      <w:r w:rsidR="00D65E8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) 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(при наличии электронной подписи). </w:t>
      </w:r>
    </w:p>
    <w:p w:rsidR="003C6B81" w:rsidRPr="00F34013" w:rsidRDefault="00F34013" w:rsidP="00F34013">
      <w:pPr>
        <w:spacing w:before="100" w:beforeAutospacing="1" w:after="100" w:afterAutospacing="1" w:line="240" w:lineRule="auto"/>
        <w:ind w:firstLine="567"/>
        <w:jc w:val="both"/>
      </w:pPr>
      <w:r>
        <w:t>О</w:t>
      </w:r>
      <w:r w:rsidR="003C6B81" w:rsidRPr="00F34013">
        <w:t xml:space="preserve">дновременно с осуществлением государственного кадастрового учета соответствующих изменений в отношении указанных домов, учтенных </w:t>
      </w:r>
      <w:r w:rsidR="00397D73">
        <w:br/>
      </w:r>
      <w:r w:rsidR="003C6B81" w:rsidRPr="00F34013">
        <w:lastRenderedPageBreak/>
        <w:t xml:space="preserve">в ЕГРН в качестве помещений, орган регистрации прав снимает </w:t>
      </w:r>
      <w:r w:rsidR="00397D73">
        <w:br/>
      </w:r>
      <w:r w:rsidR="003C6B81" w:rsidRPr="00F34013">
        <w:t>с государственного кадастрового учета здание, в котором, по сведениям ЕГРН, они расположены.</w:t>
      </w:r>
    </w:p>
    <w:p w:rsidR="003C6B81" w:rsidRPr="00F34013" w:rsidRDefault="00D65E83" w:rsidP="00F34013">
      <w:pPr>
        <w:spacing w:before="100" w:beforeAutospacing="1" w:after="100" w:afterAutospacing="1" w:line="240" w:lineRule="auto"/>
        <w:ind w:firstLine="567"/>
        <w:jc w:val="both"/>
      </w:pPr>
      <w:r>
        <w:t>П</w:t>
      </w:r>
      <w:r w:rsidR="003C6B81" w:rsidRPr="00F34013">
        <w:t>одготовка заключений и актов о</w:t>
      </w:r>
      <w:r>
        <w:t xml:space="preserve">рганами местного </w:t>
      </w:r>
      <w:r w:rsidR="00F34013" w:rsidRPr="00F34013">
        <w:t xml:space="preserve">самоуправления </w:t>
      </w:r>
      <w:r w:rsidR="00397D73">
        <w:br/>
      </w:r>
      <w:r w:rsidR="00F34013" w:rsidRPr="00F34013">
        <w:t>и</w:t>
      </w:r>
      <w:r w:rsidR="003C6B81" w:rsidRPr="00F34013">
        <w:t xml:space="preserve"> уплата государственной пошлины не требуется.</w:t>
      </w:r>
    </w:p>
    <w:p w:rsidR="003C6B81" w:rsidRDefault="001321BD" w:rsidP="00F34013">
      <w:pPr>
        <w:spacing w:before="100" w:beforeAutospacing="1" w:after="100" w:afterAutospacing="1" w:line="240" w:lineRule="auto"/>
        <w:ind w:firstLine="567"/>
        <w:jc w:val="both"/>
      </w:pPr>
      <w:r>
        <w:t>Проведенный</w:t>
      </w:r>
      <w:r w:rsidRPr="00F34013">
        <w:t xml:space="preserve"> </w:t>
      </w:r>
      <w:r>
        <w:t>учет изменения</w:t>
      </w:r>
      <w:r w:rsidRPr="00F34013">
        <w:t xml:space="preserve"> сведений </w:t>
      </w:r>
      <w:r>
        <w:t xml:space="preserve">в </w:t>
      </w:r>
      <w:r w:rsidRPr="00F34013">
        <w:t xml:space="preserve">ЕГРН </w:t>
      </w:r>
      <w:r>
        <w:t>удостоверяются выпиской из ЕГРН.</w:t>
      </w:r>
    </w:p>
    <w:p w:rsidR="007A34AD" w:rsidRPr="00D65E83" w:rsidRDefault="00752877" w:rsidP="00D65E83">
      <w:pPr>
        <w:spacing w:before="100" w:beforeAutospacing="1" w:after="100" w:afterAutospacing="1" w:line="240" w:lineRule="auto"/>
        <w:jc w:val="both"/>
        <w:rPr>
          <w:i/>
          <w:sz w:val="20"/>
          <w:szCs w:val="20"/>
        </w:rPr>
      </w:pPr>
      <w:r w:rsidRPr="00D65E83">
        <w:rPr>
          <w:i/>
          <w:sz w:val="20"/>
          <w:szCs w:val="20"/>
        </w:rPr>
        <w:t xml:space="preserve">Если в собственности находится не квартира, а доля в праве собственности на жилой дом, то внести в ЕГРН изменение наименования вида использования на «дом блокированной застройки» </w:t>
      </w:r>
      <w:r w:rsidR="00D65E83" w:rsidRPr="00D65E83">
        <w:rPr>
          <w:i/>
          <w:sz w:val="20"/>
          <w:szCs w:val="20"/>
        </w:rPr>
        <w:t xml:space="preserve">невозможно в связи с прямым законодательным запретом (часть 7 статьи 41 Федерального закона от 13.07.2015 №218-ФЗ «О государственной регистрации недвижимости»). </w:t>
      </w:r>
      <w:r w:rsidR="00D65E83">
        <w:rPr>
          <w:i/>
          <w:sz w:val="20"/>
          <w:szCs w:val="20"/>
        </w:rPr>
        <w:t>Признать жилой дом домом блокированной застройки можно в судебном порядке.</w:t>
      </w:r>
    </w:p>
    <w:p w:rsidR="004B7935" w:rsidRDefault="004B7935" w:rsidP="00F34013">
      <w:pPr>
        <w:spacing w:before="100" w:beforeAutospacing="1" w:after="100" w:afterAutospacing="1" w:line="240" w:lineRule="auto"/>
        <w:ind w:firstLine="567"/>
        <w:jc w:val="both"/>
      </w:pPr>
      <w:r w:rsidRPr="00F34013">
        <w:t xml:space="preserve">Зачастую </w:t>
      </w:r>
      <w:r w:rsidRPr="001321BD">
        <w:rPr>
          <w:b/>
        </w:rPr>
        <w:t>земельные участки под отдельными блоками дома</w:t>
      </w:r>
      <w:r w:rsidRPr="00F34013">
        <w:t xml:space="preserve"> </w:t>
      </w:r>
      <w:r w:rsidRPr="001321BD">
        <w:rPr>
          <w:b/>
        </w:rPr>
        <w:t>блокированной застройки</w:t>
      </w:r>
      <w:r w:rsidRPr="00F34013">
        <w:t xml:space="preserve"> не с</w:t>
      </w:r>
      <w:r>
        <w:t>формированы, земельный участок находи</w:t>
      </w:r>
      <w:r w:rsidRPr="00F34013">
        <w:t xml:space="preserve">тся в </w:t>
      </w:r>
      <w:r>
        <w:t xml:space="preserve">долевой </w:t>
      </w:r>
      <w:r w:rsidRPr="00F34013">
        <w:t xml:space="preserve">собственности </w:t>
      </w:r>
      <w:r>
        <w:t>владельцев</w:t>
      </w:r>
      <w:r w:rsidRPr="00F34013">
        <w:t xml:space="preserve"> таких </w:t>
      </w:r>
      <w:r>
        <w:t>блоков.</w:t>
      </w:r>
    </w:p>
    <w:p w:rsidR="004B7935" w:rsidRPr="00F34013" w:rsidRDefault="004B7935" w:rsidP="00054812">
      <w:pPr>
        <w:pStyle w:val="a3"/>
        <w:ind w:firstLine="567"/>
        <w:jc w:val="both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После внесения в ЕГРН изменения 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вида использования на «дом блокированной застройки» в орган регистрации 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</w:t>
      </w:r>
      <w:r w:rsidR="00054812"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>документов, необходимых для осуществления государственного кадастрового учета и государственной регистрации прав</w:t>
      </w:r>
      <w:r w:rsid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(</w:t>
      </w:r>
      <w:r w:rsidR="001321BD">
        <w:rPr>
          <w:rFonts w:ascii="PT Astra Serif" w:eastAsiaTheme="minorHAnsi" w:hAnsi="PT Astra Serif" w:cstheme="minorBidi"/>
          <w:sz w:val="28"/>
          <w:szCs w:val="22"/>
          <w:lang w:eastAsia="en-US"/>
        </w:rPr>
        <w:t>заявления</w:t>
      </w:r>
      <w:r w:rsid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всех собственников блоков дома блокированной застройки, 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соглашения о разделе первоначального </w:t>
      </w:r>
      <w:r w:rsidR="001321BD">
        <w:rPr>
          <w:rFonts w:ascii="PT Astra Serif" w:eastAsiaTheme="minorHAnsi" w:hAnsi="PT Astra Serif" w:cstheme="minorBidi"/>
          <w:sz w:val="28"/>
          <w:szCs w:val="22"/>
          <w:lang w:eastAsia="en-US"/>
        </w:rPr>
        <w:t>земельного участка,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межевого плана</w:t>
      </w:r>
      <w:r w:rsidR="00170F08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на </w:t>
      </w:r>
      <w:r w:rsidR="00170F08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>образуемые земельные уч</w:t>
      </w:r>
      <w:r w:rsidR="00170F08">
        <w:rPr>
          <w:rFonts w:ascii="PT Astra Serif" w:eastAsiaTheme="minorHAnsi" w:hAnsi="PT Astra Serif" w:cstheme="minorBidi"/>
          <w:sz w:val="28"/>
          <w:szCs w:val="22"/>
          <w:lang w:eastAsia="en-US"/>
        </w:rPr>
        <w:t>астки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>).</w:t>
      </w:r>
    </w:p>
    <w:p w:rsidR="00E155E0" w:rsidRPr="00F34013" w:rsidRDefault="00E155E0" w:rsidP="00F34013">
      <w:pPr>
        <w:spacing w:before="100" w:beforeAutospacing="1" w:after="100" w:afterAutospacing="1" w:line="240" w:lineRule="auto"/>
        <w:ind w:firstLine="567"/>
        <w:jc w:val="both"/>
      </w:pPr>
      <w:r w:rsidRPr="00F34013">
        <w:t>Чтобы сформировать земельный участок под домом блокированной застройки сначала необходимо провести кадастровые работы по межеванию земельного участка.</w:t>
      </w:r>
    </w:p>
    <w:p w:rsidR="00E155E0" w:rsidRPr="00F34013" w:rsidRDefault="001E55E1" w:rsidP="00F34013">
      <w:pPr>
        <w:spacing w:before="100" w:beforeAutospacing="1" w:after="100" w:afterAutospacing="1" w:line="240" w:lineRule="auto"/>
        <w:ind w:firstLine="567"/>
        <w:jc w:val="both"/>
      </w:pPr>
      <w:r>
        <w:t>Для этого заключается</w:t>
      </w:r>
      <w:r w:rsidR="00E155E0" w:rsidRPr="00F34013">
        <w:t xml:space="preserve"> договор подряда на проведение кадастровых работ с кадастровым инженером, являющимся членом саморегулируемой организации кадастровых инженеров, или с организацией, имеющей в штате кадастрового инженера.</w:t>
      </w:r>
    </w:p>
    <w:p w:rsidR="00E155E0" w:rsidRPr="00F34013" w:rsidRDefault="00E155E0" w:rsidP="00F34013">
      <w:pPr>
        <w:spacing w:before="100" w:beforeAutospacing="1" w:after="100" w:afterAutospacing="1" w:line="240" w:lineRule="auto"/>
        <w:ind w:firstLine="567"/>
        <w:jc w:val="both"/>
      </w:pPr>
      <w:r w:rsidRPr="00F34013">
        <w:t>В результате проведения таких работ вы получите межевой план, который необходим для кадастрового учета образуемых земельных участков.</w:t>
      </w:r>
    </w:p>
    <w:p w:rsidR="001A1EBA" w:rsidRDefault="001A1EBA" w:rsidP="001321BD">
      <w:pPr>
        <w:spacing w:before="100" w:beforeAutospacing="1" w:after="100" w:afterAutospacing="1" w:line="240" w:lineRule="auto"/>
        <w:ind w:firstLine="567"/>
        <w:jc w:val="both"/>
      </w:pPr>
      <w:r>
        <w:t>Как правило</w:t>
      </w:r>
      <w:r w:rsidR="00D43523">
        <w:t>,</w:t>
      </w:r>
      <w:r>
        <w:t xml:space="preserve"> кадастровые инженеры формируют документы для государственного кадастрового</w:t>
      </w:r>
      <w:r w:rsidRPr="00F34013">
        <w:t xml:space="preserve"> учет</w:t>
      </w:r>
      <w:r>
        <w:t>а и государственной регистрации</w:t>
      </w:r>
      <w:r w:rsidRPr="00F34013">
        <w:t xml:space="preserve"> прав</w:t>
      </w:r>
      <w:r>
        <w:t>а</w:t>
      </w:r>
      <w:r w:rsidRPr="00F34013">
        <w:t xml:space="preserve"> на образованные земельные участки</w:t>
      </w:r>
      <w:r>
        <w:t xml:space="preserve"> и в электронном виде</w:t>
      </w:r>
      <w:r w:rsidR="007A34AD">
        <w:t xml:space="preserve"> и самостоятельно</w:t>
      </w:r>
      <w:r>
        <w:t xml:space="preserve"> направляют </w:t>
      </w:r>
      <w:r w:rsidR="00D43523">
        <w:t xml:space="preserve">их </w:t>
      </w:r>
      <w:r>
        <w:t>в орган регистрации прав.</w:t>
      </w:r>
    </w:p>
    <w:p w:rsidR="00752877" w:rsidRPr="00F34013" w:rsidRDefault="001A1EBA" w:rsidP="00752877">
      <w:pPr>
        <w:pStyle w:val="a3"/>
        <w:ind w:firstLine="567"/>
        <w:jc w:val="both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Также все собственники самостоятельно могут </w:t>
      </w:r>
      <w:r w:rsidR="00E155E0"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>обра</w:t>
      </w:r>
      <w:r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титься в орган регистрации прав </w:t>
      </w:r>
      <w:r w:rsid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>посредством</w:t>
      </w:r>
      <w:r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обращения в МФЦ для государственного кадастрового учета и государственной регистрации права на образованные земельные участки</w:t>
      </w:r>
      <w:r w:rsid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либо через личный кабинет на официальном сайте Росреестра (при наличии электронной подписи). </w:t>
      </w:r>
    </w:p>
    <w:p w:rsidR="00E155E0" w:rsidRDefault="00E155E0" w:rsidP="001A1EBA">
      <w:pPr>
        <w:spacing w:before="100" w:beforeAutospacing="1" w:after="100" w:afterAutospacing="1" w:line="240" w:lineRule="auto"/>
        <w:ind w:firstLine="567"/>
        <w:jc w:val="both"/>
      </w:pPr>
      <w:r w:rsidRPr="00F34013">
        <w:t>За регистрацию права собственности на земельные учас</w:t>
      </w:r>
      <w:r w:rsidR="001321BD">
        <w:t>тки подлежит уплата госпошлины</w:t>
      </w:r>
      <w:r w:rsidRPr="00F34013">
        <w:t>.</w:t>
      </w:r>
      <w:r w:rsidR="001A1EBA">
        <w:t xml:space="preserve"> </w:t>
      </w:r>
      <w:r w:rsidRPr="00F34013">
        <w:t xml:space="preserve">Проведенные государственный кадастровый учет </w:t>
      </w:r>
      <w:r w:rsidR="00A51B6B">
        <w:br/>
      </w:r>
      <w:r w:rsidRPr="00F34013">
        <w:t>и государственная регистрация прав удостоверяются выпиской из ЕГРН.</w:t>
      </w:r>
    </w:p>
    <w:p w:rsidR="00154B5B" w:rsidRPr="00154B5B" w:rsidRDefault="00154B5B" w:rsidP="00154B5B">
      <w:pPr>
        <w:pStyle w:val="3"/>
        <w:ind w:firstLine="567"/>
        <w:jc w:val="both"/>
        <w:rPr>
          <w:rFonts w:ascii="PT Astra Serif" w:eastAsiaTheme="minorHAnsi" w:hAnsi="PT Astra Serif" w:cstheme="minorBidi"/>
          <w:b/>
          <w:color w:val="auto"/>
          <w:sz w:val="28"/>
          <w:szCs w:val="22"/>
        </w:rPr>
      </w:pP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За дополнительной информацией по вопросам внесения изменений </w:t>
      </w:r>
      <w:r w:rsidR="00A51B6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br/>
      </w: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в ЕГРН и/или регистрации прав собственности необходимо обратиться </w:t>
      </w:r>
      <w:r w:rsidR="00A51B6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br/>
      </w: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в Управление Росреестра по Томской области (многоканальный телефон </w:t>
      </w:r>
      <w:r w:rsidR="008804AF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br/>
      </w: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>8-800-100-34-34</w:t>
      </w:r>
      <w:r w:rsidR="008804AF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>, контактные телефоны территориальных отделов можн</w:t>
      </w:r>
      <w:r w:rsidR="00A51B6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о уточнить на сайте Росреестра </w:t>
      </w:r>
      <w:r w:rsidR="008804AF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>https://rosreestr.gov.ru).</w:t>
      </w:r>
    </w:p>
    <w:p w:rsidR="00154B5B" w:rsidRPr="00154B5B" w:rsidRDefault="00154B5B" w:rsidP="001A1EBA">
      <w:pPr>
        <w:spacing w:before="100" w:beforeAutospacing="1" w:after="100" w:afterAutospacing="1" w:line="240" w:lineRule="auto"/>
        <w:ind w:firstLine="567"/>
        <w:jc w:val="both"/>
        <w:rPr>
          <w:b/>
        </w:rPr>
      </w:pPr>
    </w:p>
    <w:sectPr w:rsidR="00154B5B" w:rsidRPr="0015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724"/>
    <w:multiLevelType w:val="multilevel"/>
    <w:tmpl w:val="F18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5537"/>
    <w:multiLevelType w:val="multilevel"/>
    <w:tmpl w:val="CDA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D5E16"/>
    <w:multiLevelType w:val="hybridMultilevel"/>
    <w:tmpl w:val="79844840"/>
    <w:lvl w:ilvl="0" w:tplc="D6F63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4E1282"/>
    <w:multiLevelType w:val="multilevel"/>
    <w:tmpl w:val="8A5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19"/>
    <w:rsid w:val="00054812"/>
    <w:rsid w:val="000719F1"/>
    <w:rsid w:val="000872C4"/>
    <w:rsid w:val="000D09E2"/>
    <w:rsid w:val="001321BD"/>
    <w:rsid w:val="00154B5B"/>
    <w:rsid w:val="00170F08"/>
    <w:rsid w:val="001A1EBA"/>
    <w:rsid w:val="001E55E1"/>
    <w:rsid w:val="0021362D"/>
    <w:rsid w:val="00295D03"/>
    <w:rsid w:val="00397D73"/>
    <w:rsid w:val="003C6B81"/>
    <w:rsid w:val="00401419"/>
    <w:rsid w:val="00495DCA"/>
    <w:rsid w:val="004A6AD6"/>
    <w:rsid w:val="004B37AA"/>
    <w:rsid w:val="004B7935"/>
    <w:rsid w:val="005212A2"/>
    <w:rsid w:val="00534E8C"/>
    <w:rsid w:val="00537617"/>
    <w:rsid w:val="005E5B29"/>
    <w:rsid w:val="00631156"/>
    <w:rsid w:val="006C772D"/>
    <w:rsid w:val="00752877"/>
    <w:rsid w:val="007A1D7D"/>
    <w:rsid w:val="007A34AD"/>
    <w:rsid w:val="007C4F69"/>
    <w:rsid w:val="007D3D1B"/>
    <w:rsid w:val="008804AF"/>
    <w:rsid w:val="009B2158"/>
    <w:rsid w:val="009D7D96"/>
    <w:rsid w:val="00A13B00"/>
    <w:rsid w:val="00A51B6B"/>
    <w:rsid w:val="00B10099"/>
    <w:rsid w:val="00B67A7E"/>
    <w:rsid w:val="00BB6DB8"/>
    <w:rsid w:val="00BD49EE"/>
    <w:rsid w:val="00BD4AB3"/>
    <w:rsid w:val="00D34889"/>
    <w:rsid w:val="00D43523"/>
    <w:rsid w:val="00D65E83"/>
    <w:rsid w:val="00DC537C"/>
    <w:rsid w:val="00E155E0"/>
    <w:rsid w:val="00F34013"/>
    <w:rsid w:val="00F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158"/>
    <w:rPr>
      <w:b/>
      <w:bCs/>
    </w:rPr>
  </w:style>
  <w:style w:type="character" w:styleId="a5">
    <w:name w:val="Hyperlink"/>
    <w:basedOn w:val="a0"/>
    <w:uiPriority w:val="99"/>
    <w:unhideWhenUsed/>
    <w:rsid w:val="009B2158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9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95D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95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0D09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54B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158"/>
    <w:rPr>
      <w:b/>
      <w:bCs/>
    </w:rPr>
  </w:style>
  <w:style w:type="character" w:styleId="a5">
    <w:name w:val="Hyperlink"/>
    <w:basedOn w:val="a0"/>
    <w:uiPriority w:val="99"/>
    <w:unhideWhenUsed/>
    <w:rsid w:val="009B2158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9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95D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95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0D09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54B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1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Капустина</dc:creator>
  <cp:keywords/>
  <dc:description/>
  <cp:lastModifiedBy>документооборот Directum</cp:lastModifiedBy>
  <cp:revision>21</cp:revision>
  <dcterms:created xsi:type="dcterms:W3CDTF">2024-09-25T04:15:00Z</dcterms:created>
  <dcterms:modified xsi:type="dcterms:W3CDTF">2024-10-17T02:46:00Z</dcterms:modified>
</cp:coreProperties>
</file>